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BDC4" w14:textId="77777777" w:rsidR="00947AFB" w:rsidRPr="00BD6DE4" w:rsidRDefault="00947AFB" w:rsidP="00947AFB">
      <w:pPr>
        <w:rPr>
          <w:b/>
          <w:bCs/>
          <w:color w:val="FF0000"/>
          <w:sz w:val="32"/>
          <w:szCs w:val="32"/>
        </w:rPr>
      </w:pPr>
      <w:r w:rsidRPr="00BD6DE4">
        <w:rPr>
          <w:noProof/>
          <w:lang w:eastAsia="en-GB"/>
        </w:rPr>
        <w:drawing>
          <wp:anchor distT="0" distB="0" distL="114300" distR="114300" simplePos="0" relativeHeight="251657728" behindDoc="0" locked="0" layoutInCell="1" allowOverlap="1" wp14:anchorId="329D8F49" wp14:editId="618EB74A">
            <wp:simplePos x="0" y="0"/>
            <wp:positionH relativeFrom="column">
              <wp:posOffset>-54610</wp:posOffset>
            </wp:positionH>
            <wp:positionV relativeFrom="paragraph">
              <wp:posOffset>-86995</wp:posOffset>
            </wp:positionV>
            <wp:extent cx="1494790" cy="750570"/>
            <wp:effectExtent l="0" t="0" r="0" b="0"/>
            <wp:wrapSquare wrapText="right"/>
            <wp:docPr id="5" name="Grafik 1" descr="Logo European Patent Office">
              <a:hlinkClick xmlns:a="http://schemas.openxmlformats.org/drawingml/2006/main" r:id="rId6"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6" tooltip="&quot;Link to EPO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750570"/>
                    </a:xfrm>
                    <a:prstGeom prst="rect">
                      <a:avLst/>
                    </a:prstGeom>
                    <a:noFill/>
                  </pic:spPr>
                </pic:pic>
              </a:graphicData>
            </a:graphic>
            <wp14:sizeRelH relativeFrom="margin">
              <wp14:pctWidth>0</wp14:pctWidth>
            </wp14:sizeRelH>
            <wp14:sizeRelV relativeFrom="margin">
              <wp14:pctHeight>0</wp14:pctHeight>
            </wp14:sizeRelV>
          </wp:anchor>
        </w:drawing>
      </w:r>
    </w:p>
    <w:p w14:paraId="13ABD3CF" w14:textId="38705EAC" w:rsidR="00947AFB" w:rsidRDefault="00947AFB" w:rsidP="00947AFB">
      <w:pPr>
        <w:jc w:val="right"/>
        <w:rPr>
          <w:b/>
          <w:sz w:val="32"/>
          <w:szCs w:val="32"/>
        </w:rPr>
      </w:pPr>
      <w:r w:rsidRPr="00BD6DE4">
        <w:rPr>
          <w:b/>
          <w:sz w:val="32"/>
          <w:szCs w:val="32"/>
        </w:rPr>
        <w:t>PRESS RELEASE</w:t>
      </w:r>
    </w:p>
    <w:p w14:paraId="49ECB2D7" w14:textId="77777777" w:rsidR="007321CB" w:rsidRPr="00BD6DE4" w:rsidRDefault="007321CB" w:rsidP="00947AFB">
      <w:pPr>
        <w:jc w:val="right"/>
        <w:rPr>
          <w:b/>
          <w:sz w:val="32"/>
          <w:szCs w:val="32"/>
        </w:rPr>
      </w:pPr>
    </w:p>
    <w:p w14:paraId="41E96A3D" w14:textId="5B7E9A78" w:rsidR="00947AFB" w:rsidRDefault="00947AFB" w:rsidP="00947AFB">
      <w:pPr>
        <w:jc w:val="right"/>
        <w:rPr>
          <w:b/>
          <w:sz w:val="32"/>
          <w:szCs w:val="32"/>
        </w:rPr>
      </w:pPr>
    </w:p>
    <w:p w14:paraId="22F8CF4D" w14:textId="59E48002" w:rsidR="007321CB" w:rsidRPr="007E77E0" w:rsidRDefault="007321CB" w:rsidP="007321CB">
      <w:pPr>
        <w:jc w:val="center"/>
        <w:rPr>
          <w:b/>
          <w:color w:val="FF0000"/>
          <w:sz w:val="32"/>
          <w:szCs w:val="32"/>
        </w:rPr>
      </w:pPr>
      <w:r w:rsidRPr="007E77E0">
        <w:rPr>
          <w:b/>
          <w:color w:val="FF0000"/>
          <w:sz w:val="32"/>
          <w:szCs w:val="32"/>
        </w:rPr>
        <w:t>EMBARGOED UNTIL 12 MARCH 2020, 08.00 CET</w:t>
      </w:r>
    </w:p>
    <w:p w14:paraId="2E0FACA3" w14:textId="77777777" w:rsidR="004D14FF" w:rsidRPr="00BD6DE4" w:rsidRDefault="004D14FF" w:rsidP="007321CB">
      <w:pPr>
        <w:jc w:val="center"/>
        <w:rPr>
          <w:b/>
          <w:sz w:val="32"/>
          <w:szCs w:val="32"/>
        </w:rPr>
      </w:pPr>
    </w:p>
    <w:p w14:paraId="27B9742D" w14:textId="56A4828F" w:rsidR="00327629" w:rsidRPr="00FD351E" w:rsidRDefault="00551F9F" w:rsidP="00AC40F8">
      <w:pPr>
        <w:pStyle w:val="yiv4015193287msonormal"/>
        <w:shd w:val="clear" w:color="auto" w:fill="FFFFFF"/>
        <w:spacing w:before="0" w:beforeAutospacing="0" w:after="0" w:afterAutospacing="0"/>
        <w:jc w:val="center"/>
        <w:rPr>
          <w:b/>
          <w:sz w:val="40"/>
          <w:szCs w:val="40"/>
        </w:rPr>
      </w:pPr>
      <w:bookmarkStart w:id="0" w:name="_Hlk32581982"/>
      <w:r w:rsidRPr="00FD351E">
        <w:rPr>
          <w:b/>
          <w:sz w:val="40"/>
          <w:szCs w:val="40"/>
        </w:rPr>
        <w:t xml:space="preserve"> </w:t>
      </w:r>
      <w:bookmarkStart w:id="1" w:name="_Hlk32404470"/>
      <w:bookmarkStart w:id="2" w:name="_Hlk32402139"/>
      <w:bookmarkStart w:id="3" w:name="_Hlk32579232"/>
      <w:r w:rsidRPr="00FD351E">
        <w:rPr>
          <w:b/>
          <w:sz w:val="40"/>
          <w:szCs w:val="40"/>
        </w:rPr>
        <w:t xml:space="preserve">Digital </w:t>
      </w:r>
      <w:r w:rsidR="00A95E81" w:rsidRPr="00FD351E">
        <w:rPr>
          <w:b/>
          <w:sz w:val="40"/>
          <w:szCs w:val="40"/>
        </w:rPr>
        <w:t xml:space="preserve">technologies take top spot </w:t>
      </w:r>
      <w:r w:rsidR="005E637F">
        <w:rPr>
          <w:b/>
          <w:sz w:val="40"/>
          <w:szCs w:val="40"/>
        </w:rPr>
        <w:t>in</w:t>
      </w:r>
      <w:r w:rsidR="00FD351E" w:rsidRPr="00FD351E">
        <w:rPr>
          <w:b/>
          <w:sz w:val="40"/>
          <w:szCs w:val="40"/>
        </w:rPr>
        <w:t xml:space="preserve"> </w:t>
      </w:r>
      <w:r w:rsidR="00FF35D0" w:rsidRPr="00FD351E">
        <w:rPr>
          <w:b/>
          <w:sz w:val="40"/>
          <w:szCs w:val="40"/>
        </w:rPr>
        <w:t xml:space="preserve">European </w:t>
      </w:r>
      <w:r w:rsidR="00A95E81" w:rsidRPr="00FD351E">
        <w:rPr>
          <w:b/>
          <w:sz w:val="40"/>
          <w:szCs w:val="40"/>
        </w:rPr>
        <w:t xml:space="preserve">patent applications </w:t>
      </w:r>
    </w:p>
    <w:p w14:paraId="7BB2D35A" w14:textId="3EBD9B54" w:rsidR="00AB53EF" w:rsidRPr="00FD351E" w:rsidRDefault="00AB53EF" w:rsidP="00AC40F8">
      <w:pPr>
        <w:pStyle w:val="yiv4015193287msonormal"/>
        <w:shd w:val="clear" w:color="auto" w:fill="FFFFFF"/>
        <w:spacing w:before="0" w:beforeAutospacing="0" w:after="0" w:afterAutospacing="0"/>
        <w:jc w:val="center"/>
        <w:rPr>
          <w:b/>
          <w:sz w:val="40"/>
          <w:szCs w:val="40"/>
        </w:rPr>
      </w:pPr>
    </w:p>
    <w:p w14:paraId="7D5787E3" w14:textId="2F83DA00" w:rsidR="00B14DF6" w:rsidRPr="00B14DF6" w:rsidRDefault="00EC03AB" w:rsidP="00B14DF6">
      <w:pPr>
        <w:numPr>
          <w:ilvl w:val="0"/>
          <w:numId w:val="9"/>
        </w:numPr>
        <w:spacing w:before="100" w:beforeAutospacing="1" w:after="100" w:afterAutospacing="1"/>
        <w:rPr>
          <w:rFonts w:eastAsia="Times New Roman"/>
          <w:szCs w:val="24"/>
          <w:lang w:eastAsia="en-GB"/>
        </w:rPr>
      </w:pPr>
      <w:bookmarkStart w:id="4" w:name="_Hlk32404450"/>
      <w:r w:rsidRPr="00B14DF6">
        <w:rPr>
          <w:b/>
        </w:rPr>
        <w:t>European Patent Office receives record</w:t>
      </w:r>
      <w:r w:rsidR="009831EF" w:rsidRPr="00B14DF6">
        <w:rPr>
          <w:b/>
        </w:rPr>
        <w:t xml:space="preserve"> </w:t>
      </w:r>
      <w:r w:rsidR="00551F9F" w:rsidRPr="00B14DF6">
        <w:rPr>
          <w:b/>
        </w:rPr>
        <w:t xml:space="preserve">181 000 applications </w:t>
      </w:r>
      <w:r w:rsidRPr="00B14DF6">
        <w:rPr>
          <w:b/>
        </w:rPr>
        <w:t xml:space="preserve">in 2019 </w:t>
      </w:r>
      <w:bookmarkEnd w:id="4"/>
    </w:p>
    <w:p w14:paraId="51CD3E40" w14:textId="539A91CE" w:rsidR="00B14DF6" w:rsidRPr="006F5EF9" w:rsidRDefault="00B14DF6" w:rsidP="00B14DF6">
      <w:pPr>
        <w:numPr>
          <w:ilvl w:val="0"/>
          <w:numId w:val="9"/>
        </w:numPr>
        <w:spacing w:before="100" w:beforeAutospacing="1" w:after="100" w:afterAutospacing="1"/>
        <w:rPr>
          <w:rFonts w:eastAsia="Times New Roman"/>
          <w:szCs w:val="24"/>
          <w:lang w:eastAsia="en-GB"/>
        </w:rPr>
      </w:pPr>
      <w:r>
        <w:rPr>
          <w:rFonts w:eastAsia="Times New Roman"/>
          <w:b/>
          <w:bCs/>
          <w:szCs w:val="24"/>
          <w:lang w:eastAsia="en-GB"/>
        </w:rPr>
        <w:t>Patent applications for d</w:t>
      </w:r>
      <w:r w:rsidRPr="006035FF">
        <w:rPr>
          <w:rFonts w:eastAsia="Times New Roman"/>
          <w:b/>
          <w:bCs/>
          <w:szCs w:val="24"/>
          <w:lang w:eastAsia="en-GB"/>
        </w:rPr>
        <w:t xml:space="preserve">igital </w:t>
      </w:r>
      <w:r w:rsidR="001261E6">
        <w:rPr>
          <w:rFonts w:eastAsia="Times New Roman"/>
          <w:b/>
          <w:bCs/>
          <w:szCs w:val="24"/>
          <w:lang w:eastAsia="en-GB"/>
        </w:rPr>
        <w:t>technologies</w:t>
      </w:r>
      <w:r w:rsidRPr="006035FF">
        <w:rPr>
          <w:rFonts w:eastAsia="Times New Roman"/>
          <w:b/>
          <w:bCs/>
          <w:szCs w:val="24"/>
          <w:lang w:eastAsia="en-GB"/>
        </w:rPr>
        <w:t xml:space="preserve"> </w:t>
      </w:r>
      <w:r>
        <w:rPr>
          <w:rFonts w:eastAsia="Times New Roman"/>
          <w:b/>
          <w:bCs/>
          <w:szCs w:val="24"/>
          <w:lang w:eastAsia="en-GB"/>
        </w:rPr>
        <w:t>soar</w:t>
      </w:r>
      <w:r w:rsidR="00171F5D" w:rsidRPr="00664EA0">
        <w:rPr>
          <w:rFonts w:eastAsia="Times New Roman"/>
          <w:b/>
          <w:bCs/>
          <w:szCs w:val="24"/>
          <w:lang w:eastAsia="en-GB"/>
        </w:rPr>
        <w:t>,</w:t>
      </w:r>
      <w:r w:rsidRPr="00664EA0">
        <w:rPr>
          <w:rFonts w:eastAsia="Times New Roman"/>
          <w:b/>
          <w:bCs/>
          <w:szCs w:val="24"/>
          <w:lang w:eastAsia="en-GB"/>
        </w:rPr>
        <w:t xml:space="preserve"> </w:t>
      </w:r>
      <w:r w:rsidR="00171F5D" w:rsidRPr="00664EA0">
        <w:rPr>
          <w:rFonts w:eastAsia="Times New Roman"/>
          <w:b/>
          <w:bCs/>
          <w:szCs w:val="24"/>
          <w:lang w:eastAsia="en-GB"/>
        </w:rPr>
        <w:t>driven by rise of 5G and AI</w:t>
      </w:r>
      <w:bookmarkStart w:id="5" w:name="_GoBack"/>
      <w:bookmarkEnd w:id="5"/>
    </w:p>
    <w:bookmarkEnd w:id="1"/>
    <w:p w14:paraId="633F5506" w14:textId="765E3F3F" w:rsidR="009E2DE3" w:rsidRDefault="00EC03AB" w:rsidP="001261E6">
      <w:pPr>
        <w:numPr>
          <w:ilvl w:val="0"/>
          <w:numId w:val="9"/>
        </w:numPr>
        <w:spacing w:before="100" w:beforeAutospacing="1" w:after="100" w:afterAutospacing="1"/>
        <w:rPr>
          <w:rFonts w:eastAsia="Times New Roman"/>
          <w:b/>
          <w:bCs/>
          <w:szCs w:val="24"/>
          <w:lang w:eastAsia="en-GB"/>
        </w:rPr>
      </w:pPr>
      <w:r>
        <w:rPr>
          <w:rFonts w:eastAsia="Times New Roman"/>
          <w:b/>
          <w:bCs/>
          <w:szCs w:val="24"/>
          <w:lang w:eastAsia="en-GB"/>
        </w:rPr>
        <w:t>Top five countries of origin are the US, Germany, Japan, China and France</w:t>
      </w:r>
    </w:p>
    <w:p w14:paraId="277ED390" w14:textId="38FD29F4" w:rsidR="001261E6" w:rsidRDefault="001261E6" w:rsidP="001261E6">
      <w:pPr>
        <w:numPr>
          <w:ilvl w:val="0"/>
          <w:numId w:val="9"/>
        </w:numPr>
        <w:spacing w:before="100" w:beforeAutospacing="1" w:after="100" w:afterAutospacing="1"/>
        <w:rPr>
          <w:rFonts w:eastAsia="Times New Roman"/>
          <w:b/>
          <w:bCs/>
          <w:szCs w:val="24"/>
          <w:lang w:eastAsia="en-GB"/>
        </w:rPr>
      </w:pPr>
      <w:r w:rsidRPr="00171F5D">
        <w:rPr>
          <w:rFonts w:eastAsia="Times New Roman"/>
          <w:b/>
          <w:bCs/>
          <w:szCs w:val="24"/>
          <w:lang w:eastAsia="en-GB"/>
        </w:rPr>
        <w:t xml:space="preserve">European companies and inventors account for </w:t>
      </w:r>
      <w:r w:rsidR="005360F2">
        <w:rPr>
          <w:rFonts w:eastAsia="Times New Roman"/>
          <w:b/>
          <w:bCs/>
          <w:szCs w:val="24"/>
          <w:lang w:eastAsia="en-GB"/>
        </w:rPr>
        <w:t>largest share of</w:t>
      </w:r>
      <w:r w:rsidRPr="00171F5D">
        <w:rPr>
          <w:rFonts w:eastAsia="Times New Roman"/>
          <w:b/>
          <w:bCs/>
          <w:szCs w:val="24"/>
          <w:lang w:eastAsia="en-GB"/>
        </w:rPr>
        <w:t xml:space="preserve"> filings</w:t>
      </w:r>
    </w:p>
    <w:p w14:paraId="78A8E59F" w14:textId="1EE37289" w:rsidR="001B0B00" w:rsidRPr="001261E6" w:rsidRDefault="00ED5916" w:rsidP="000D146A">
      <w:pPr>
        <w:numPr>
          <w:ilvl w:val="0"/>
          <w:numId w:val="9"/>
        </w:numPr>
        <w:spacing w:before="100" w:beforeAutospacing="1" w:after="100" w:afterAutospacing="1"/>
        <w:rPr>
          <w:rFonts w:eastAsia="Times New Roman"/>
          <w:b/>
          <w:bCs/>
          <w:szCs w:val="24"/>
          <w:lang w:eastAsia="en-GB"/>
        </w:rPr>
      </w:pPr>
      <w:r>
        <w:rPr>
          <w:rFonts w:eastAsia="Times New Roman"/>
          <w:b/>
          <w:bCs/>
          <w:szCs w:val="24"/>
          <w:lang w:eastAsia="en-GB"/>
        </w:rPr>
        <w:t>Sharpest</w:t>
      </w:r>
      <w:r w:rsidR="001261E6" w:rsidRPr="000D146A">
        <w:rPr>
          <w:rFonts w:eastAsia="Times New Roman"/>
          <w:b/>
          <w:bCs/>
          <w:szCs w:val="24"/>
          <w:lang w:eastAsia="en-GB"/>
        </w:rPr>
        <w:t xml:space="preserve"> </w:t>
      </w:r>
      <w:r w:rsidR="00D1644C" w:rsidRPr="000D146A">
        <w:rPr>
          <w:rFonts w:eastAsia="Times New Roman"/>
          <w:b/>
          <w:bCs/>
          <w:szCs w:val="24"/>
          <w:lang w:eastAsia="en-GB"/>
        </w:rPr>
        <w:t>growth</w:t>
      </w:r>
      <w:r w:rsidR="0010140B" w:rsidRPr="000D146A">
        <w:rPr>
          <w:rFonts w:eastAsia="Times New Roman"/>
          <w:b/>
          <w:bCs/>
          <w:szCs w:val="24"/>
          <w:lang w:eastAsia="en-GB"/>
        </w:rPr>
        <w:t xml:space="preserve"> </w:t>
      </w:r>
      <w:r w:rsidR="00393E1A">
        <w:rPr>
          <w:rFonts w:eastAsia="Times New Roman"/>
          <w:b/>
          <w:bCs/>
          <w:szCs w:val="24"/>
          <w:lang w:eastAsia="en-GB"/>
        </w:rPr>
        <w:t xml:space="preserve">in patent applications </w:t>
      </w:r>
      <w:r w:rsidR="0010140B" w:rsidRPr="005360F2">
        <w:rPr>
          <w:rFonts w:eastAsia="Times New Roman"/>
          <w:b/>
          <w:bCs/>
          <w:szCs w:val="24"/>
          <w:lang w:eastAsia="en-GB"/>
        </w:rPr>
        <w:t xml:space="preserve">from China </w:t>
      </w:r>
      <w:r w:rsidR="006035FF" w:rsidRPr="00B04847">
        <w:rPr>
          <w:rFonts w:eastAsia="Times New Roman"/>
          <w:b/>
          <w:bCs/>
          <w:szCs w:val="24"/>
          <w:lang w:eastAsia="en-GB"/>
        </w:rPr>
        <w:t xml:space="preserve">and South Korea </w:t>
      </w:r>
    </w:p>
    <w:p w14:paraId="4389FF39" w14:textId="23A18F51" w:rsidR="000E018F" w:rsidRPr="00320D06" w:rsidRDefault="000E018F" w:rsidP="003F2555">
      <w:pPr>
        <w:numPr>
          <w:ilvl w:val="0"/>
          <w:numId w:val="9"/>
        </w:numPr>
        <w:spacing w:before="100" w:beforeAutospacing="1" w:after="100" w:afterAutospacing="1"/>
        <w:rPr>
          <w:rFonts w:eastAsia="Times New Roman"/>
          <w:szCs w:val="24"/>
          <w:lang w:eastAsia="en-GB"/>
        </w:rPr>
      </w:pPr>
      <w:r w:rsidRPr="00320D06">
        <w:rPr>
          <w:rFonts w:eastAsia="Times New Roman"/>
          <w:b/>
          <w:bCs/>
          <w:szCs w:val="24"/>
          <w:lang w:eastAsia="en-GB"/>
        </w:rPr>
        <w:t xml:space="preserve">Huawei </w:t>
      </w:r>
      <w:r w:rsidR="00171F5D">
        <w:rPr>
          <w:rFonts w:eastAsia="Times New Roman"/>
          <w:b/>
          <w:bCs/>
          <w:szCs w:val="24"/>
          <w:lang w:eastAsia="en-GB"/>
        </w:rPr>
        <w:t>tops</w:t>
      </w:r>
      <w:r w:rsidR="00CD3DF9">
        <w:rPr>
          <w:rFonts w:eastAsia="Times New Roman"/>
          <w:b/>
          <w:bCs/>
          <w:szCs w:val="24"/>
          <w:lang w:eastAsia="en-GB"/>
        </w:rPr>
        <w:t xml:space="preserve"> </w:t>
      </w:r>
      <w:r w:rsidR="00860DD1">
        <w:rPr>
          <w:rFonts w:eastAsia="Times New Roman"/>
          <w:b/>
          <w:bCs/>
          <w:szCs w:val="24"/>
          <w:lang w:eastAsia="en-GB"/>
        </w:rPr>
        <w:t>the</w:t>
      </w:r>
      <w:r w:rsidR="00171F5D">
        <w:rPr>
          <w:rFonts w:eastAsia="Times New Roman"/>
          <w:b/>
          <w:bCs/>
          <w:szCs w:val="24"/>
          <w:lang w:eastAsia="en-GB"/>
        </w:rPr>
        <w:t xml:space="preserve"> applicant</w:t>
      </w:r>
      <w:r w:rsidRPr="00320D06">
        <w:rPr>
          <w:rFonts w:eastAsia="Times New Roman"/>
          <w:b/>
          <w:bCs/>
          <w:szCs w:val="24"/>
          <w:lang w:eastAsia="en-GB"/>
        </w:rPr>
        <w:t xml:space="preserve"> ranking, ahead of Samsung, LG, United Technologies</w:t>
      </w:r>
      <w:r w:rsidR="00551F9F">
        <w:rPr>
          <w:rFonts w:eastAsia="Times New Roman"/>
          <w:b/>
          <w:bCs/>
          <w:szCs w:val="24"/>
          <w:lang w:eastAsia="en-GB"/>
        </w:rPr>
        <w:t xml:space="preserve"> and Siemens</w:t>
      </w:r>
    </w:p>
    <w:bookmarkEnd w:id="2"/>
    <w:p w14:paraId="70764E19" w14:textId="5402F4C0" w:rsidR="001C2D4C" w:rsidRDefault="00351405" w:rsidP="001C2D4C">
      <w:pPr>
        <w:spacing w:before="100" w:beforeAutospacing="1" w:after="100" w:afterAutospacing="1"/>
        <w:rPr>
          <w:rFonts w:eastAsia="Times New Roman"/>
          <w:szCs w:val="24"/>
          <w:lang w:eastAsia="en-GB"/>
        </w:rPr>
      </w:pPr>
      <w:r w:rsidRPr="003356BE">
        <w:rPr>
          <w:rFonts w:eastAsia="Times New Roman"/>
          <w:b/>
          <w:bCs/>
          <w:szCs w:val="24"/>
          <w:lang w:eastAsia="en-GB"/>
        </w:rPr>
        <w:t xml:space="preserve">Munich, </w:t>
      </w:r>
      <w:r w:rsidR="007321CB" w:rsidRPr="003356BE">
        <w:rPr>
          <w:rFonts w:eastAsia="Times New Roman"/>
          <w:b/>
          <w:bCs/>
          <w:szCs w:val="24"/>
          <w:lang w:eastAsia="en-GB"/>
        </w:rPr>
        <w:t>12</w:t>
      </w:r>
      <w:r w:rsidR="0063285D" w:rsidRPr="003356BE">
        <w:rPr>
          <w:rFonts w:eastAsia="Times New Roman"/>
          <w:b/>
          <w:bCs/>
          <w:szCs w:val="24"/>
          <w:lang w:eastAsia="en-GB"/>
        </w:rPr>
        <w:t xml:space="preserve"> </w:t>
      </w:r>
      <w:r w:rsidRPr="003356BE">
        <w:rPr>
          <w:rFonts w:eastAsia="Times New Roman"/>
          <w:b/>
          <w:bCs/>
          <w:szCs w:val="24"/>
          <w:lang w:eastAsia="en-GB"/>
        </w:rPr>
        <w:t>March 2020</w:t>
      </w:r>
      <w:r w:rsidR="00327629" w:rsidRPr="003356BE">
        <w:rPr>
          <w:rFonts w:eastAsia="Times New Roman"/>
          <w:b/>
          <w:bCs/>
          <w:szCs w:val="24"/>
          <w:lang w:eastAsia="en-GB"/>
        </w:rPr>
        <w:t xml:space="preserve"> </w:t>
      </w:r>
      <w:r w:rsidR="002F2BE8" w:rsidRPr="003356BE">
        <w:rPr>
          <w:rFonts w:eastAsia="Times New Roman"/>
          <w:szCs w:val="24"/>
          <w:lang w:eastAsia="en-GB"/>
        </w:rPr>
        <w:t>–</w:t>
      </w:r>
      <w:r w:rsidR="00327629" w:rsidRPr="003356BE">
        <w:rPr>
          <w:rFonts w:eastAsia="Times New Roman"/>
          <w:szCs w:val="24"/>
          <w:lang w:eastAsia="en-GB"/>
        </w:rPr>
        <w:t xml:space="preserve"> </w:t>
      </w:r>
      <w:bookmarkStart w:id="6" w:name="_Hlk32484968"/>
      <w:r w:rsidR="00203E90">
        <w:rPr>
          <w:rFonts w:eastAsia="Times New Roman"/>
          <w:szCs w:val="24"/>
          <w:lang w:eastAsia="en-GB"/>
        </w:rPr>
        <w:t xml:space="preserve">Patent </w:t>
      </w:r>
      <w:r w:rsidR="00B14DF6">
        <w:rPr>
          <w:rFonts w:eastAsia="Times New Roman"/>
          <w:szCs w:val="24"/>
          <w:lang w:eastAsia="en-GB"/>
        </w:rPr>
        <w:t xml:space="preserve">statistics </w:t>
      </w:r>
      <w:r w:rsidR="00203E90">
        <w:rPr>
          <w:rFonts w:eastAsia="Times New Roman"/>
          <w:szCs w:val="24"/>
          <w:lang w:eastAsia="en-GB"/>
        </w:rPr>
        <w:t xml:space="preserve">published </w:t>
      </w:r>
      <w:r w:rsidR="007B28DA">
        <w:rPr>
          <w:rFonts w:eastAsia="Times New Roman"/>
          <w:szCs w:val="24"/>
          <w:lang w:eastAsia="en-GB"/>
        </w:rPr>
        <w:t xml:space="preserve">today </w:t>
      </w:r>
      <w:r w:rsidR="00203E90">
        <w:rPr>
          <w:rFonts w:eastAsia="Times New Roman"/>
          <w:szCs w:val="24"/>
          <w:lang w:eastAsia="en-GB"/>
        </w:rPr>
        <w:t>by t</w:t>
      </w:r>
      <w:r w:rsidR="00F645B1" w:rsidRPr="00F645B1">
        <w:rPr>
          <w:rFonts w:eastAsia="Times New Roman"/>
          <w:szCs w:val="24"/>
          <w:lang w:eastAsia="en-GB"/>
        </w:rPr>
        <w:t>he European Patent Office (EPO) show</w:t>
      </w:r>
      <w:r w:rsidR="004E7046">
        <w:rPr>
          <w:rFonts w:eastAsia="Times New Roman"/>
          <w:szCs w:val="24"/>
          <w:lang w:eastAsia="en-GB"/>
        </w:rPr>
        <w:t xml:space="preserve"> </w:t>
      </w:r>
      <w:r w:rsidR="00F645B1" w:rsidRPr="00F645B1">
        <w:rPr>
          <w:rFonts w:eastAsia="Times New Roman"/>
          <w:szCs w:val="24"/>
          <w:lang w:eastAsia="en-GB"/>
        </w:rPr>
        <w:t>that for the first time</w:t>
      </w:r>
      <w:r w:rsidR="008217D3">
        <w:rPr>
          <w:rFonts w:eastAsia="Times New Roman"/>
          <w:szCs w:val="24"/>
          <w:lang w:eastAsia="en-GB"/>
        </w:rPr>
        <w:t xml:space="preserve"> in </w:t>
      </w:r>
      <w:r w:rsidR="00FF35D0">
        <w:rPr>
          <w:rFonts w:eastAsia="Times New Roman"/>
          <w:szCs w:val="24"/>
          <w:lang w:eastAsia="en-GB"/>
        </w:rPr>
        <w:t>more than</w:t>
      </w:r>
      <w:r w:rsidR="008217D3">
        <w:rPr>
          <w:rFonts w:eastAsia="Times New Roman"/>
          <w:szCs w:val="24"/>
          <w:lang w:eastAsia="en-GB"/>
        </w:rPr>
        <w:t xml:space="preserve"> a decade</w:t>
      </w:r>
      <w:r w:rsidR="00F645B1" w:rsidRPr="00F645B1">
        <w:rPr>
          <w:rFonts w:eastAsia="Times New Roman"/>
          <w:szCs w:val="24"/>
          <w:lang w:eastAsia="en-GB"/>
        </w:rPr>
        <w:t xml:space="preserve"> digital </w:t>
      </w:r>
      <w:r w:rsidR="00203E90">
        <w:rPr>
          <w:rFonts w:eastAsia="Times New Roman"/>
          <w:szCs w:val="24"/>
          <w:lang w:eastAsia="en-GB"/>
        </w:rPr>
        <w:t xml:space="preserve">technologies </w:t>
      </w:r>
      <w:r w:rsidR="00F645B1" w:rsidRPr="00F645B1">
        <w:rPr>
          <w:rFonts w:eastAsia="Times New Roman"/>
          <w:szCs w:val="24"/>
          <w:lang w:eastAsia="en-GB"/>
        </w:rPr>
        <w:t>have taken the lead</w:t>
      </w:r>
      <w:r w:rsidR="00203E90">
        <w:rPr>
          <w:rFonts w:eastAsia="Times New Roman"/>
          <w:szCs w:val="24"/>
          <w:lang w:eastAsia="en-GB"/>
        </w:rPr>
        <w:t xml:space="preserve"> in patent appl</w:t>
      </w:r>
      <w:r w:rsidR="004670D3">
        <w:rPr>
          <w:rFonts w:eastAsia="Times New Roman"/>
          <w:szCs w:val="24"/>
          <w:lang w:eastAsia="en-GB"/>
        </w:rPr>
        <w:t>i</w:t>
      </w:r>
      <w:r w:rsidR="00203E90">
        <w:rPr>
          <w:rFonts w:eastAsia="Times New Roman"/>
          <w:szCs w:val="24"/>
          <w:lang w:eastAsia="en-GB"/>
        </w:rPr>
        <w:t>cation</w:t>
      </w:r>
      <w:r w:rsidR="004670D3">
        <w:rPr>
          <w:rFonts w:eastAsia="Times New Roman"/>
          <w:szCs w:val="24"/>
          <w:lang w:eastAsia="en-GB"/>
        </w:rPr>
        <w:t>s</w:t>
      </w:r>
      <w:r w:rsidR="00ED5916">
        <w:rPr>
          <w:rFonts w:eastAsia="Times New Roman"/>
          <w:szCs w:val="24"/>
          <w:lang w:eastAsia="en-GB"/>
        </w:rPr>
        <w:t xml:space="preserve"> filed</w:t>
      </w:r>
      <w:r w:rsidR="00F645B1" w:rsidRPr="00F645B1">
        <w:rPr>
          <w:rFonts w:eastAsia="Times New Roman"/>
          <w:szCs w:val="24"/>
          <w:lang w:eastAsia="en-GB"/>
        </w:rPr>
        <w:t xml:space="preserve">. </w:t>
      </w:r>
      <w:bookmarkEnd w:id="3"/>
      <w:bookmarkEnd w:id="6"/>
      <w:r w:rsidR="00127B15">
        <w:rPr>
          <w:rFonts w:eastAsia="Times New Roman"/>
          <w:szCs w:val="24"/>
          <w:lang w:eastAsia="en-GB"/>
        </w:rPr>
        <w:t>According to t</w:t>
      </w:r>
      <w:r w:rsidR="00F645B1" w:rsidRPr="00F645B1">
        <w:rPr>
          <w:rFonts w:eastAsia="Times New Roman"/>
          <w:szCs w:val="24"/>
          <w:lang w:eastAsia="en-GB"/>
        </w:rPr>
        <w:t>he</w:t>
      </w:r>
      <w:r w:rsidR="00C72B3C">
        <w:rPr>
          <w:rFonts w:eastAsia="Times New Roman"/>
          <w:szCs w:val="24"/>
          <w:lang w:eastAsia="en-GB"/>
        </w:rPr>
        <w:t xml:space="preserve"> </w:t>
      </w:r>
      <w:hyperlink r:id="rId8" w:history="1">
        <w:r w:rsidR="00C72B3C" w:rsidRPr="00B63292">
          <w:rPr>
            <w:rStyle w:val="Hyperlink"/>
            <w:rFonts w:eastAsia="Times New Roman"/>
            <w:szCs w:val="24"/>
            <w:lang w:eastAsia="en-GB"/>
          </w:rPr>
          <w:t>EPO</w:t>
        </w:r>
        <w:r w:rsidR="001066E1" w:rsidRPr="00B63292">
          <w:rPr>
            <w:rStyle w:val="Hyperlink"/>
            <w:rFonts w:eastAsia="Times New Roman"/>
            <w:szCs w:val="24"/>
            <w:lang w:eastAsia="en-GB"/>
          </w:rPr>
          <w:t xml:space="preserve"> </w:t>
        </w:r>
        <w:r w:rsidR="00C72B3C" w:rsidRPr="00B63292">
          <w:rPr>
            <w:rStyle w:val="Hyperlink"/>
            <w:rFonts w:eastAsia="Times New Roman"/>
            <w:szCs w:val="24"/>
            <w:lang w:eastAsia="en-GB"/>
          </w:rPr>
          <w:t xml:space="preserve">Patent </w:t>
        </w:r>
        <w:r w:rsidR="00EA7DEF" w:rsidRPr="00B63292">
          <w:rPr>
            <w:rStyle w:val="Hyperlink"/>
            <w:rFonts w:eastAsia="Times New Roman"/>
            <w:szCs w:val="24"/>
            <w:lang w:eastAsia="en-GB"/>
          </w:rPr>
          <w:t xml:space="preserve">Index </w:t>
        </w:r>
        <w:r w:rsidR="00C72B3C" w:rsidRPr="00B63292">
          <w:rPr>
            <w:rStyle w:val="Hyperlink"/>
            <w:rFonts w:eastAsia="Times New Roman"/>
            <w:szCs w:val="24"/>
            <w:lang w:eastAsia="en-GB"/>
          </w:rPr>
          <w:t>2019</w:t>
        </w:r>
      </w:hyperlink>
      <w:r w:rsidR="00127B15" w:rsidRPr="001066E1">
        <w:rPr>
          <w:rFonts w:eastAsia="Times New Roman"/>
          <w:szCs w:val="24"/>
          <w:lang w:eastAsia="en-GB"/>
        </w:rPr>
        <w:t>,</w:t>
      </w:r>
      <w:r w:rsidR="00C72B3C" w:rsidRPr="001066E1">
        <w:rPr>
          <w:rFonts w:eastAsia="Times New Roman"/>
          <w:szCs w:val="24"/>
          <w:lang w:eastAsia="en-GB"/>
        </w:rPr>
        <w:t xml:space="preserve"> </w:t>
      </w:r>
      <w:r w:rsidR="007B28DA" w:rsidRPr="001066E1">
        <w:rPr>
          <w:rFonts w:eastAsia="Times New Roman"/>
          <w:szCs w:val="24"/>
          <w:lang w:eastAsia="en-GB"/>
        </w:rPr>
        <w:t>the</w:t>
      </w:r>
      <w:r w:rsidR="007B28DA">
        <w:rPr>
          <w:rFonts w:eastAsia="Times New Roman"/>
          <w:szCs w:val="24"/>
          <w:lang w:eastAsia="en-GB"/>
        </w:rPr>
        <w:t xml:space="preserve"> </w:t>
      </w:r>
      <w:r w:rsidR="008217D3">
        <w:rPr>
          <w:rFonts w:eastAsia="Times New Roman"/>
          <w:szCs w:val="24"/>
          <w:lang w:eastAsia="en-GB"/>
        </w:rPr>
        <w:t>surge</w:t>
      </w:r>
      <w:r w:rsidR="00FF35D0">
        <w:rPr>
          <w:rFonts w:eastAsia="Times New Roman"/>
          <w:szCs w:val="24"/>
          <w:lang w:eastAsia="en-GB"/>
        </w:rPr>
        <w:t xml:space="preserve"> </w:t>
      </w:r>
      <w:r w:rsidR="004D14FF">
        <w:rPr>
          <w:rFonts w:eastAsia="Times New Roman"/>
          <w:szCs w:val="24"/>
          <w:lang w:eastAsia="en-GB"/>
        </w:rPr>
        <w:t xml:space="preserve">in </w:t>
      </w:r>
      <w:r w:rsidR="007F7272">
        <w:rPr>
          <w:rFonts w:eastAsia="Times New Roman"/>
          <w:szCs w:val="24"/>
          <w:lang w:eastAsia="en-GB"/>
        </w:rPr>
        <w:t xml:space="preserve">the fields of </w:t>
      </w:r>
      <w:r w:rsidR="004D14FF">
        <w:rPr>
          <w:rFonts w:eastAsia="Times New Roman"/>
          <w:szCs w:val="24"/>
          <w:lang w:eastAsia="en-GB"/>
        </w:rPr>
        <w:t xml:space="preserve">digital communication </w:t>
      </w:r>
      <w:r w:rsidR="00477491">
        <w:rPr>
          <w:rFonts w:eastAsia="Times New Roman"/>
          <w:szCs w:val="24"/>
          <w:lang w:eastAsia="en-GB"/>
        </w:rPr>
        <w:t xml:space="preserve">(+19.6%) </w:t>
      </w:r>
      <w:r w:rsidR="004D14FF">
        <w:rPr>
          <w:rFonts w:eastAsia="Times New Roman"/>
          <w:szCs w:val="24"/>
          <w:lang w:eastAsia="en-GB"/>
        </w:rPr>
        <w:t xml:space="preserve">and computer </w:t>
      </w:r>
      <w:r w:rsidR="004D14FF" w:rsidRPr="00C75BA2">
        <w:rPr>
          <w:rFonts w:eastAsia="Times New Roman"/>
          <w:szCs w:val="24"/>
          <w:lang w:eastAsia="en-GB"/>
        </w:rPr>
        <w:t>technology</w:t>
      </w:r>
      <w:r w:rsidR="00323A0E">
        <w:rPr>
          <w:rFonts w:eastAsia="Times New Roman"/>
          <w:szCs w:val="24"/>
          <w:lang w:eastAsia="en-GB"/>
        </w:rPr>
        <w:t xml:space="preserve"> </w:t>
      </w:r>
      <w:r w:rsidR="00477491">
        <w:rPr>
          <w:rFonts w:eastAsia="Times New Roman"/>
          <w:szCs w:val="24"/>
          <w:lang w:eastAsia="en-GB"/>
        </w:rPr>
        <w:t>(+10.2%)</w:t>
      </w:r>
      <w:r w:rsidR="00477491" w:rsidRPr="00C75BA2">
        <w:rPr>
          <w:rFonts w:eastAsia="Times New Roman"/>
          <w:szCs w:val="24"/>
          <w:lang w:eastAsia="en-GB"/>
        </w:rPr>
        <w:t xml:space="preserve"> </w:t>
      </w:r>
      <w:r w:rsidR="00264D37">
        <w:rPr>
          <w:rFonts w:eastAsia="Times New Roman"/>
          <w:szCs w:val="24"/>
          <w:lang w:eastAsia="en-GB"/>
        </w:rPr>
        <w:t>is fuelling</w:t>
      </w:r>
      <w:r w:rsidR="007B28DA" w:rsidRPr="00C75BA2">
        <w:rPr>
          <w:rFonts w:eastAsia="Times New Roman"/>
          <w:szCs w:val="24"/>
          <w:lang w:eastAsia="en-GB"/>
        </w:rPr>
        <w:t xml:space="preserve"> </w:t>
      </w:r>
      <w:r w:rsidR="00906F8B">
        <w:rPr>
          <w:rFonts w:eastAsia="Times New Roman"/>
          <w:szCs w:val="24"/>
          <w:lang w:eastAsia="en-GB"/>
        </w:rPr>
        <w:t>the sustained</w:t>
      </w:r>
      <w:r w:rsidR="007B28DA" w:rsidRPr="00C75BA2">
        <w:rPr>
          <w:rFonts w:eastAsia="Times New Roman"/>
          <w:szCs w:val="24"/>
          <w:lang w:eastAsia="en-GB"/>
        </w:rPr>
        <w:t xml:space="preserve"> </w:t>
      </w:r>
      <w:r w:rsidR="00393E1A">
        <w:rPr>
          <w:rFonts w:eastAsia="Times New Roman"/>
          <w:szCs w:val="24"/>
          <w:lang w:eastAsia="en-GB"/>
        </w:rPr>
        <w:t>growth</w:t>
      </w:r>
      <w:r w:rsidR="00393E1A" w:rsidRPr="00C75BA2">
        <w:rPr>
          <w:rFonts w:eastAsia="Times New Roman"/>
          <w:szCs w:val="24"/>
          <w:lang w:eastAsia="en-GB"/>
        </w:rPr>
        <w:t xml:space="preserve"> </w:t>
      </w:r>
      <w:r w:rsidR="00E766ED" w:rsidRPr="00C75BA2">
        <w:rPr>
          <w:rFonts w:eastAsia="Times New Roman"/>
          <w:szCs w:val="24"/>
          <w:lang w:eastAsia="en-GB"/>
        </w:rPr>
        <w:t>in</w:t>
      </w:r>
      <w:r w:rsidR="00F645B1" w:rsidRPr="00C75BA2">
        <w:rPr>
          <w:rFonts w:eastAsia="Times New Roman"/>
          <w:szCs w:val="24"/>
          <w:lang w:eastAsia="en-GB"/>
        </w:rPr>
        <w:t xml:space="preserve"> </w:t>
      </w:r>
      <w:r w:rsidR="000F3839" w:rsidRPr="00C75BA2">
        <w:rPr>
          <w:rFonts w:eastAsia="Times New Roman"/>
          <w:szCs w:val="24"/>
          <w:lang w:eastAsia="en-GB"/>
        </w:rPr>
        <w:t xml:space="preserve">patent </w:t>
      </w:r>
      <w:r w:rsidR="00A02078">
        <w:rPr>
          <w:rFonts w:eastAsia="Times New Roman"/>
          <w:szCs w:val="24"/>
          <w:lang w:eastAsia="en-GB"/>
        </w:rPr>
        <w:t>filings</w:t>
      </w:r>
      <w:r w:rsidR="002B41E3">
        <w:rPr>
          <w:rFonts w:eastAsia="Times New Roman"/>
          <w:szCs w:val="24"/>
          <w:lang w:eastAsia="en-GB"/>
        </w:rPr>
        <w:t xml:space="preserve">: </w:t>
      </w:r>
      <w:r w:rsidR="00203E90" w:rsidRPr="00C75BA2">
        <w:rPr>
          <w:rFonts w:eastAsia="Times New Roman"/>
          <w:szCs w:val="24"/>
          <w:lang w:eastAsia="en-GB"/>
        </w:rPr>
        <w:t>In 2019,</w:t>
      </w:r>
      <w:r w:rsidR="00F645B1" w:rsidRPr="00C75BA2">
        <w:rPr>
          <w:rFonts w:eastAsia="Times New Roman"/>
          <w:szCs w:val="24"/>
          <w:lang w:eastAsia="en-GB"/>
        </w:rPr>
        <w:t xml:space="preserve"> the </w:t>
      </w:r>
      <w:r w:rsidR="00A95E81" w:rsidRPr="00C75BA2">
        <w:rPr>
          <w:rFonts w:eastAsia="Times New Roman"/>
          <w:szCs w:val="24"/>
          <w:lang w:eastAsia="en-GB"/>
        </w:rPr>
        <w:t>EPO</w:t>
      </w:r>
      <w:r w:rsidR="00A95E81" w:rsidRPr="00F645B1">
        <w:rPr>
          <w:rFonts w:eastAsia="Times New Roman"/>
          <w:szCs w:val="24"/>
          <w:lang w:eastAsia="en-GB"/>
        </w:rPr>
        <w:t xml:space="preserve"> </w:t>
      </w:r>
      <w:r w:rsidR="00F645B1" w:rsidRPr="00F645B1">
        <w:rPr>
          <w:rFonts w:eastAsia="Times New Roman"/>
          <w:szCs w:val="24"/>
          <w:lang w:eastAsia="en-GB"/>
        </w:rPr>
        <w:t xml:space="preserve">received </w:t>
      </w:r>
      <w:r w:rsidR="00801AF7">
        <w:rPr>
          <w:rFonts w:eastAsia="Times New Roman"/>
          <w:szCs w:val="24"/>
          <w:lang w:eastAsia="en-GB"/>
        </w:rPr>
        <w:t xml:space="preserve">well </w:t>
      </w:r>
      <w:r w:rsidR="00F645B1" w:rsidRPr="00F645B1">
        <w:rPr>
          <w:rFonts w:eastAsia="Times New Roman"/>
          <w:szCs w:val="24"/>
          <w:lang w:eastAsia="en-GB"/>
        </w:rPr>
        <w:t>over 181</w:t>
      </w:r>
      <w:r w:rsidR="00E766ED">
        <w:rPr>
          <w:rFonts w:eastAsia="Times New Roman"/>
          <w:szCs w:val="24"/>
          <w:lang w:eastAsia="en-GB"/>
        </w:rPr>
        <w:t> </w:t>
      </w:r>
      <w:r w:rsidR="00F645B1" w:rsidRPr="00F645B1">
        <w:rPr>
          <w:rFonts w:eastAsia="Times New Roman"/>
          <w:szCs w:val="24"/>
          <w:lang w:eastAsia="en-GB"/>
        </w:rPr>
        <w:t>000 applications</w:t>
      </w:r>
      <w:r w:rsidR="000F5F2A">
        <w:rPr>
          <w:rFonts w:eastAsia="Times New Roman"/>
          <w:szCs w:val="24"/>
          <w:lang w:eastAsia="en-GB"/>
        </w:rPr>
        <w:t xml:space="preserve"> in total</w:t>
      </w:r>
      <w:r w:rsidR="00F645B1" w:rsidRPr="00F645B1">
        <w:rPr>
          <w:rFonts w:eastAsia="Times New Roman"/>
          <w:szCs w:val="24"/>
          <w:lang w:eastAsia="en-GB"/>
        </w:rPr>
        <w:t xml:space="preserve">, </w:t>
      </w:r>
      <w:r w:rsidR="001169D1">
        <w:rPr>
          <w:rFonts w:eastAsia="Times New Roman"/>
          <w:szCs w:val="24"/>
          <w:lang w:eastAsia="en-GB"/>
        </w:rPr>
        <w:t xml:space="preserve">4% </w:t>
      </w:r>
      <w:r w:rsidR="00393E1A">
        <w:rPr>
          <w:rFonts w:eastAsia="Times New Roman"/>
          <w:szCs w:val="24"/>
          <w:lang w:eastAsia="en-GB"/>
        </w:rPr>
        <w:t xml:space="preserve">more than in </w:t>
      </w:r>
      <w:r w:rsidR="001169D1">
        <w:rPr>
          <w:rFonts w:eastAsia="Times New Roman"/>
          <w:szCs w:val="24"/>
          <w:lang w:eastAsia="en-GB"/>
        </w:rPr>
        <w:t>2018 and a new all-</w:t>
      </w:r>
      <w:r w:rsidR="00F645B1" w:rsidRPr="00F645B1">
        <w:rPr>
          <w:rFonts w:eastAsia="Times New Roman"/>
          <w:szCs w:val="24"/>
          <w:lang w:eastAsia="en-GB"/>
        </w:rPr>
        <w:t>time high.</w:t>
      </w:r>
      <w:r w:rsidR="00203E90">
        <w:rPr>
          <w:rFonts w:eastAsia="Times New Roman"/>
          <w:szCs w:val="24"/>
          <w:lang w:eastAsia="en-GB"/>
        </w:rPr>
        <w:t xml:space="preserve"> </w:t>
      </w:r>
    </w:p>
    <w:p w14:paraId="65898F77" w14:textId="41C27173" w:rsidR="00386592" w:rsidRDefault="00386592" w:rsidP="00386592">
      <w:pPr>
        <w:spacing w:before="100" w:beforeAutospacing="1" w:after="100" w:afterAutospacing="1"/>
        <w:rPr>
          <w:i/>
          <w:iCs/>
          <w:szCs w:val="24"/>
        </w:rPr>
      </w:pPr>
      <w:bookmarkStart w:id="7" w:name="_Hlk33645858"/>
      <w:bookmarkEnd w:id="0"/>
      <w:r>
        <w:rPr>
          <w:i/>
          <w:iCs/>
          <w:szCs w:val="24"/>
        </w:rPr>
        <w:t xml:space="preserve">“The rapid rise of digital technologies is the </w:t>
      </w:r>
      <w:r w:rsidR="00AB53EF">
        <w:rPr>
          <w:i/>
          <w:iCs/>
          <w:szCs w:val="24"/>
        </w:rPr>
        <w:t>most striking</w:t>
      </w:r>
      <w:r w:rsidR="00793C6F">
        <w:rPr>
          <w:i/>
          <w:iCs/>
          <w:szCs w:val="24"/>
        </w:rPr>
        <w:t xml:space="preserve"> </w:t>
      </w:r>
      <w:r>
        <w:rPr>
          <w:i/>
          <w:iCs/>
          <w:szCs w:val="24"/>
        </w:rPr>
        <w:t xml:space="preserve">trend from our 2019 </w:t>
      </w:r>
      <w:r w:rsidR="00F54A9A">
        <w:rPr>
          <w:i/>
          <w:iCs/>
          <w:szCs w:val="24"/>
        </w:rPr>
        <w:t>index</w:t>
      </w:r>
      <w:r>
        <w:rPr>
          <w:i/>
          <w:iCs/>
          <w:szCs w:val="24"/>
        </w:rPr>
        <w:t>,”</w:t>
      </w:r>
      <w:r>
        <w:rPr>
          <w:szCs w:val="24"/>
        </w:rPr>
        <w:t> said EPO President António Campinos. “</w:t>
      </w:r>
      <w:r w:rsidR="00793C6F">
        <w:rPr>
          <w:i/>
          <w:iCs/>
          <w:szCs w:val="24"/>
        </w:rPr>
        <w:t xml:space="preserve">The digital transformation </w:t>
      </w:r>
      <w:r w:rsidR="00393E1A">
        <w:rPr>
          <w:i/>
          <w:iCs/>
          <w:szCs w:val="24"/>
        </w:rPr>
        <w:t xml:space="preserve">of the economy is </w:t>
      </w:r>
      <w:r w:rsidR="00323A0E">
        <w:rPr>
          <w:i/>
          <w:iCs/>
          <w:szCs w:val="24"/>
        </w:rPr>
        <w:t xml:space="preserve">now </w:t>
      </w:r>
      <w:r w:rsidR="00793C6F">
        <w:rPr>
          <w:i/>
          <w:iCs/>
          <w:szCs w:val="24"/>
        </w:rPr>
        <w:t xml:space="preserve">fully </w:t>
      </w:r>
      <w:r w:rsidR="00393E1A">
        <w:rPr>
          <w:i/>
          <w:iCs/>
          <w:szCs w:val="24"/>
        </w:rPr>
        <w:t>reflected in the patent applications reaching the EPO.</w:t>
      </w:r>
      <w:r w:rsidR="00D23D8F">
        <w:rPr>
          <w:i/>
          <w:iCs/>
          <w:szCs w:val="24"/>
        </w:rPr>
        <w:t xml:space="preserve"> </w:t>
      </w:r>
      <w:r w:rsidR="00793C6F">
        <w:rPr>
          <w:i/>
          <w:iCs/>
          <w:szCs w:val="24"/>
        </w:rPr>
        <w:t xml:space="preserve">With </w:t>
      </w:r>
      <w:r w:rsidR="00393E1A">
        <w:rPr>
          <w:i/>
          <w:iCs/>
          <w:szCs w:val="24"/>
        </w:rPr>
        <w:t xml:space="preserve">our </w:t>
      </w:r>
      <w:r w:rsidR="00793C6F">
        <w:rPr>
          <w:i/>
          <w:iCs/>
          <w:szCs w:val="24"/>
        </w:rPr>
        <w:t>well-established</w:t>
      </w:r>
      <w:r w:rsidR="00393E1A">
        <w:rPr>
          <w:i/>
          <w:iCs/>
          <w:szCs w:val="24"/>
        </w:rPr>
        <w:t xml:space="preserve"> and globally recognised</w:t>
      </w:r>
      <w:r w:rsidR="00793C6F">
        <w:rPr>
          <w:i/>
          <w:iCs/>
          <w:szCs w:val="24"/>
        </w:rPr>
        <w:t xml:space="preserve"> approach </w:t>
      </w:r>
      <w:r w:rsidR="00054A6D">
        <w:rPr>
          <w:i/>
          <w:iCs/>
          <w:szCs w:val="24"/>
        </w:rPr>
        <w:t>to examining</w:t>
      </w:r>
      <w:r w:rsidR="00393E1A">
        <w:rPr>
          <w:i/>
          <w:iCs/>
          <w:szCs w:val="24"/>
        </w:rPr>
        <w:t xml:space="preserve"> </w:t>
      </w:r>
      <w:r w:rsidR="00054A6D">
        <w:rPr>
          <w:i/>
          <w:iCs/>
          <w:szCs w:val="24"/>
        </w:rPr>
        <w:t xml:space="preserve">applications </w:t>
      </w:r>
      <w:r w:rsidR="00793C6F">
        <w:rPr>
          <w:i/>
          <w:iCs/>
          <w:szCs w:val="24"/>
        </w:rPr>
        <w:t xml:space="preserve">in </w:t>
      </w:r>
      <w:r w:rsidR="00393E1A">
        <w:rPr>
          <w:i/>
          <w:iCs/>
          <w:szCs w:val="24"/>
        </w:rPr>
        <w:t xml:space="preserve">the digital </w:t>
      </w:r>
      <w:r w:rsidR="00793C6F">
        <w:rPr>
          <w:i/>
          <w:iCs/>
          <w:szCs w:val="24"/>
        </w:rPr>
        <w:t>field</w:t>
      </w:r>
      <w:r w:rsidR="00323A0E">
        <w:rPr>
          <w:i/>
          <w:iCs/>
          <w:szCs w:val="24"/>
        </w:rPr>
        <w:t>,</w:t>
      </w:r>
      <w:r w:rsidR="00793C6F">
        <w:rPr>
          <w:i/>
          <w:iCs/>
          <w:szCs w:val="24"/>
        </w:rPr>
        <w:t xml:space="preserve"> the EPO is </w:t>
      </w:r>
      <w:r w:rsidR="009E2DE3">
        <w:rPr>
          <w:i/>
          <w:iCs/>
          <w:szCs w:val="24"/>
        </w:rPr>
        <w:t>well placed</w:t>
      </w:r>
      <w:r w:rsidR="00793C6F">
        <w:rPr>
          <w:i/>
          <w:iCs/>
          <w:szCs w:val="24"/>
        </w:rPr>
        <w:t xml:space="preserve"> to support </w:t>
      </w:r>
      <w:r w:rsidR="00793C6F" w:rsidRPr="00793C6F">
        <w:rPr>
          <w:i/>
          <w:iCs/>
          <w:szCs w:val="24"/>
        </w:rPr>
        <w:t>inventors</w:t>
      </w:r>
      <w:r w:rsidR="00793C6F">
        <w:rPr>
          <w:i/>
          <w:iCs/>
          <w:szCs w:val="24"/>
        </w:rPr>
        <w:t>, and</w:t>
      </w:r>
      <w:r w:rsidR="00793C6F" w:rsidRPr="00793C6F">
        <w:rPr>
          <w:i/>
          <w:iCs/>
          <w:szCs w:val="24"/>
        </w:rPr>
        <w:t xml:space="preserve"> </w:t>
      </w:r>
      <w:r w:rsidR="00B941E3">
        <w:rPr>
          <w:i/>
          <w:iCs/>
          <w:szCs w:val="24"/>
        </w:rPr>
        <w:t>foster</w:t>
      </w:r>
      <w:r w:rsidR="00793C6F" w:rsidRPr="00793C6F">
        <w:rPr>
          <w:i/>
          <w:iCs/>
          <w:szCs w:val="24"/>
        </w:rPr>
        <w:t xml:space="preserve"> innovation</w:t>
      </w:r>
      <w:r w:rsidR="00793C6F">
        <w:rPr>
          <w:i/>
          <w:iCs/>
          <w:szCs w:val="24"/>
        </w:rPr>
        <w:t xml:space="preserve"> in Europe</w:t>
      </w:r>
      <w:r w:rsidR="00393E1A">
        <w:rPr>
          <w:i/>
          <w:iCs/>
          <w:szCs w:val="24"/>
        </w:rPr>
        <w:t xml:space="preserve"> and beyond</w:t>
      </w:r>
      <w:r w:rsidR="00793C6F">
        <w:rPr>
          <w:i/>
          <w:iCs/>
          <w:szCs w:val="24"/>
        </w:rPr>
        <w:t xml:space="preserve">. It is important that </w:t>
      </w:r>
      <w:r w:rsidR="00054A6D">
        <w:rPr>
          <w:i/>
          <w:iCs/>
          <w:szCs w:val="24"/>
        </w:rPr>
        <w:t>companies and researchers</w:t>
      </w:r>
      <w:r w:rsidR="00B91605">
        <w:rPr>
          <w:i/>
          <w:iCs/>
          <w:szCs w:val="24"/>
        </w:rPr>
        <w:t xml:space="preserve"> </w:t>
      </w:r>
      <w:r w:rsidR="00793C6F">
        <w:rPr>
          <w:i/>
          <w:iCs/>
          <w:szCs w:val="24"/>
        </w:rPr>
        <w:t>in Europe</w:t>
      </w:r>
      <w:r w:rsidR="00B91605">
        <w:rPr>
          <w:i/>
          <w:iCs/>
          <w:szCs w:val="24"/>
        </w:rPr>
        <w:t xml:space="preserve"> </w:t>
      </w:r>
      <w:r w:rsidR="00054A6D">
        <w:rPr>
          <w:i/>
          <w:iCs/>
          <w:szCs w:val="24"/>
        </w:rPr>
        <w:t>seeking to protect their inventions</w:t>
      </w:r>
      <w:r w:rsidR="00B91605">
        <w:rPr>
          <w:i/>
          <w:iCs/>
          <w:szCs w:val="24"/>
        </w:rPr>
        <w:t xml:space="preserve"> </w:t>
      </w:r>
      <w:r w:rsidR="00793C6F" w:rsidRPr="00B91605">
        <w:rPr>
          <w:i/>
          <w:iCs/>
          <w:szCs w:val="24"/>
        </w:rPr>
        <w:t>find a level playing field</w:t>
      </w:r>
      <w:r w:rsidR="00793C6F">
        <w:rPr>
          <w:i/>
          <w:iCs/>
          <w:szCs w:val="24"/>
        </w:rPr>
        <w:t xml:space="preserve"> with their competitors from Asia and the US</w:t>
      </w:r>
      <w:r w:rsidR="005D0F32">
        <w:rPr>
          <w:i/>
          <w:iCs/>
          <w:szCs w:val="24"/>
        </w:rPr>
        <w:t>,</w:t>
      </w:r>
      <w:r w:rsidR="00793C6F">
        <w:rPr>
          <w:i/>
          <w:iCs/>
          <w:szCs w:val="24"/>
        </w:rPr>
        <w:t xml:space="preserve"> and are able to </w:t>
      </w:r>
      <w:r w:rsidR="00393E1A">
        <w:rPr>
          <w:i/>
          <w:iCs/>
          <w:szCs w:val="24"/>
        </w:rPr>
        <w:t>maintain a</w:t>
      </w:r>
      <w:r w:rsidR="00793C6F">
        <w:rPr>
          <w:i/>
          <w:iCs/>
          <w:szCs w:val="24"/>
        </w:rPr>
        <w:t xml:space="preserve"> strong position in the </w:t>
      </w:r>
      <w:r w:rsidR="00B941E3">
        <w:rPr>
          <w:i/>
          <w:iCs/>
          <w:szCs w:val="24"/>
        </w:rPr>
        <w:t>global technology market.”</w:t>
      </w:r>
      <w:r>
        <w:rPr>
          <w:i/>
          <w:iCs/>
          <w:szCs w:val="24"/>
        </w:rPr>
        <w:t xml:space="preserve"> </w:t>
      </w:r>
    </w:p>
    <w:bookmarkEnd w:id="7"/>
    <w:p w14:paraId="031A1CA9" w14:textId="1BCA3499" w:rsidR="00196ACA" w:rsidRDefault="00196ACA" w:rsidP="00386592">
      <w:pPr>
        <w:spacing w:before="100" w:beforeAutospacing="1" w:after="100" w:afterAutospacing="1"/>
        <w:rPr>
          <w:i/>
          <w:iCs/>
          <w:szCs w:val="24"/>
        </w:rPr>
      </w:pPr>
    </w:p>
    <w:p w14:paraId="375083B6" w14:textId="77777777" w:rsidR="00196ACA" w:rsidRDefault="00196ACA" w:rsidP="00386592">
      <w:pPr>
        <w:spacing w:before="100" w:beforeAutospacing="1" w:after="100" w:afterAutospacing="1"/>
        <w:rPr>
          <w:i/>
          <w:iCs/>
          <w:szCs w:val="24"/>
        </w:rPr>
      </w:pPr>
    </w:p>
    <w:p w14:paraId="125BEE4F" w14:textId="606AFE97" w:rsidR="0014550D" w:rsidRPr="00BD6DE4" w:rsidRDefault="006F5EF9" w:rsidP="00327629">
      <w:pPr>
        <w:spacing w:before="100" w:beforeAutospacing="1" w:after="100" w:afterAutospacing="1"/>
        <w:rPr>
          <w:rFonts w:eastAsia="Times New Roman"/>
          <w:szCs w:val="24"/>
          <w:lang w:eastAsia="en-GB"/>
        </w:rPr>
      </w:pPr>
      <w:r w:rsidRPr="006F5EF9">
        <w:rPr>
          <w:rFonts w:eastAsia="Times New Roman"/>
          <w:noProof/>
          <w:szCs w:val="24"/>
          <w:lang w:eastAsia="en-GB"/>
        </w:rPr>
        <w:lastRenderedPageBreak/>
        <w:drawing>
          <wp:inline distT="0" distB="0" distL="0" distR="0" wp14:anchorId="03B5D12F" wp14:editId="0C520F92">
            <wp:extent cx="4774347" cy="358076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2630" cy="3594472"/>
                    </a:xfrm>
                    <a:prstGeom prst="rect">
                      <a:avLst/>
                    </a:prstGeom>
                  </pic:spPr>
                </pic:pic>
              </a:graphicData>
            </a:graphic>
          </wp:inline>
        </w:drawing>
      </w:r>
    </w:p>
    <w:p w14:paraId="5CC8BC26" w14:textId="77777777" w:rsidR="00F67FFC" w:rsidRDefault="00F67FFC" w:rsidP="007F7272">
      <w:pPr>
        <w:spacing w:before="100" w:beforeAutospacing="1" w:after="100" w:afterAutospacing="1"/>
        <w:rPr>
          <w:rFonts w:eastAsia="Times New Roman"/>
          <w:b/>
          <w:sz w:val="27"/>
          <w:szCs w:val="27"/>
          <w:lang w:eastAsia="en-GB"/>
        </w:rPr>
      </w:pPr>
    </w:p>
    <w:p w14:paraId="653E1727" w14:textId="1BE6D506" w:rsidR="007F7272" w:rsidRDefault="007F7272" w:rsidP="007F7272">
      <w:pPr>
        <w:spacing w:before="100" w:beforeAutospacing="1" w:after="100" w:afterAutospacing="1"/>
        <w:rPr>
          <w:rFonts w:eastAsia="Times New Roman"/>
          <w:b/>
          <w:sz w:val="27"/>
          <w:szCs w:val="27"/>
          <w:lang w:eastAsia="en-GB"/>
        </w:rPr>
      </w:pPr>
      <w:bookmarkStart w:id="8" w:name="_Hlk32579370"/>
      <w:r w:rsidRPr="00AC40F8">
        <w:rPr>
          <w:rFonts w:eastAsia="Times New Roman"/>
          <w:b/>
          <w:sz w:val="27"/>
          <w:szCs w:val="27"/>
          <w:lang w:eastAsia="en-GB"/>
        </w:rPr>
        <w:t>5</w:t>
      </w:r>
      <w:r>
        <w:rPr>
          <w:rFonts w:eastAsia="Times New Roman"/>
          <w:b/>
          <w:sz w:val="27"/>
          <w:szCs w:val="27"/>
          <w:lang w:eastAsia="en-GB"/>
        </w:rPr>
        <w:t>G and AI as drivers of growth</w:t>
      </w:r>
    </w:p>
    <w:p w14:paraId="4EA48587" w14:textId="3EA86EA1" w:rsidR="0095278F" w:rsidRDefault="00171F5D" w:rsidP="00C35D9A">
      <w:pPr>
        <w:spacing w:before="100" w:beforeAutospacing="1" w:after="100" w:afterAutospacing="1"/>
        <w:rPr>
          <w:rFonts w:eastAsia="Times New Roman"/>
          <w:noProof/>
          <w:szCs w:val="24"/>
          <w:lang w:eastAsia="en-GB"/>
        </w:rPr>
      </w:pPr>
      <w:bookmarkStart w:id="9" w:name="_Hlk33618936"/>
      <w:r>
        <w:rPr>
          <w:rFonts w:eastAsia="Times New Roman"/>
          <w:szCs w:val="24"/>
          <w:lang w:eastAsia="en-GB"/>
        </w:rPr>
        <w:t>A</w:t>
      </w:r>
      <w:r w:rsidRPr="00171F5D">
        <w:rPr>
          <w:rFonts w:eastAsia="Times New Roman"/>
          <w:szCs w:val="24"/>
          <w:lang w:eastAsia="en-GB"/>
        </w:rPr>
        <w:t>mong the top technical fields at the EPO</w:t>
      </w:r>
      <w:r>
        <w:rPr>
          <w:rFonts w:eastAsia="Times New Roman"/>
          <w:szCs w:val="24"/>
          <w:lang w:eastAsia="en-GB"/>
        </w:rPr>
        <w:t xml:space="preserve">, </w:t>
      </w:r>
      <w:hyperlink r:id="rId10" w:history="1">
        <w:r w:rsidRPr="00B63292">
          <w:rPr>
            <w:rStyle w:val="Hyperlink"/>
            <w:rFonts w:eastAsia="Times New Roman"/>
            <w:szCs w:val="24"/>
            <w:lang w:eastAsia="en-GB"/>
          </w:rPr>
          <w:t xml:space="preserve">digital </w:t>
        </w:r>
        <w:r w:rsidR="00E766ED" w:rsidRPr="00B63292">
          <w:rPr>
            <w:rStyle w:val="Hyperlink"/>
            <w:rFonts w:eastAsia="Times New Roman"/>
            <w:szCs w:val="24"/>
            <w:lang w:eastAsia="en-GB"/>
          </w:rPr>
          <w:t>communicatio</w:t>
        </w:r>
        <w:r w:rsidR="00C8331F" w:rsidRPr="00B63292">
          <w:rPr>
            <w:rStyle w:val="Hyperlink"/>
            <w:rFonts w:eastAsia="Times New Roman"/>
            <w:szCs w:val="24"/>
            <w:lang w:eastAsia="en-GB"/>
          </w:rPr>
          <w:t>n and computer technology</w:t>
        </w:r>
      </w:hyperlink>
      <w:r w:rsidR="00C8331F">
        <w:rPr>
          <w:rFonts w:eastAsia="Times New Roman"/>
          <w:szCs w:val="24"/>
          <w:lang w:eastAsia="en-GB"/>
        </w:rPr>
        <w:t xml:space="preserve"> </w:t>
      </w:r>
      <w:r w:rsidR="007B28DA">
        <w:rPr>
          <w:rFonts w:eastAsia="Times New Roman"/>
          <w:szCs w:val="24"/>
          <w:lang w:eastAsia="en-GB"/>
        </w:rPr>
        <w:t>s</w:t>
      </w:r>
      <w:r w:rsidR="00AD0239" w:rsidRPr="00B16CC9">
        <w:rPr>
          <w:rFonts w:eastAsia="Times New Roman"/>
          <w:szCs w:val="24"/>
          <w:lang w:eastAsia="en-GB"/>
        </w:rPr>
        <w:t xml:space="preserve">aw </w:t>
      </w:r>
      <w:r w:rsidR="00C8331F">
        <w:rPr>
          <w:rFonts w:eastAsia="Times New Roman"/>
          <w:szCs w:val="24"/>
          <w:lang w:eastAsia="en-GB"/>
        </w:rPr>
        <w:t xml:space="preserve">the </w:t>
      </w:r>
      <w:r w:rsidR="00C568C5">
        <w:rPr>
          <w:rFonts w:eastAsia="Times New Roman"/>
          <w:szCs w:val="24"/>
          <w:lang w:eastAsia="en-GB"/>
        </w:rPr>
        <w:t xml:space="preserve">steepest </w:t>
      </w:r>
      <w:r w:rsidR="00C8331F">
        <w:rPr>
          <w:rFonts w:eastAsia="Times New Roman"/>
          <w:szCs w:val="24"/>
          <w:lang w:eastAsia="en-GB"/>
        </w:rPr>
        <w:t xml:space="preserve">growth, highlighting their key role in </w:t>
      </w:r>
      <w:r w:rsidR="00FD351E">
        <w:rPr>
          <w:rFonts w:eastAsia="Times New Roman"/>
          <w:szCs w:val="24"/>
          <w:lang w:eastAsia="en-GB"/>
        </w:rPr>
        <w:t>driving</w:t>
      </w:r>
      <w:r w:rsidR="00C8331F">
        <w:rPr>
          <w:rFonts w:eastAsia="Times New Roman"/>
          <w:szCs w:val="24"/>
          <w:lang w:eastAsia="en-GB"/>
        </w:rPr>
        <w:t xml:space="preserve"> the digital transformation </w:t>
      </w:r>
      <w:r w:rsidR="00224D75">
        <w:rPr>
          <w:rFonts w:eastAsia="Times New Roman"/>
          <w:szCs w:val="24"/>
          <w:lang w:eastAsia="en-GB"/>
        </w:rPr>
        <w:t>that is permeating</w:t>
      </w:r>
      <w:r w:rsidR="00C8331F">
        <w:rPr>
          <w:rFonts w:eastAsia="Times New Roman"/>
          <w:szCs w:val="24"/>
          <w:lang w:eastAsia="en-GB"/>
        </w:rPr>
        <w:t xml:space="preserve"> all </w:t>
      </w:r>
      <w:r w:rsidR="00224D75">
        <w:rPr>
          <w:rFonts w:eastAsia="Times New Roman"/>
          <w:szCs w:val="24"/>
          <w:lang w:eastAsia="en-GB"/>
        </w:rPr>
        <w:t>sectors and industries</w:t>
      </w:r>
      <w:r w:rsidR="00C8331F">
        <w:rPr>
          <w:rFonts w:eastAsia="Times New Roman"/>
          <w:szCs w:val="24"/>
          <w:lang w:eastAsia="en-GB"/>
        </w:rPr>
        <w:t xml:space="preserve">. </w:t>
      </w:r>
      <w:bookmarkEnd w:id="9"/>
      <w:r w:rsidR="00C8331F">
        <w:rPr>
          <w:rFonts w:eastAsia="Times New Roman"/>
          <w:szCs w:val="24"/>
          <w:lang w:eastAsia="en-GB"/>
        </w:rPr>
        <w:t xml:space="preserve">Patent applications </w:t>
      </w:r>
      <w:r w:rsidR="00224D75">
        <w:rPr>
          <w:rFonts w:eastAsia="Times New Roman"/>
          <w:szCs w:val="24"/>
          <w:lang w:eastAsia="en-GB"/>
        </w:rPr>
        <w:t>in d</w:t>
      </w:r>
      <w:r w:rsidR="00C8331F">
        <w:rPr>
          <w:rFonts w:eastAsia="Times New Roman"/>
          <w:szCs w:val="24"/>
          <w:lang w:eastAsia="en-GB"/>
        </w:rPr>
        <w:t xml:space="preserve">igital communication </w:t>
      </w:r>
      <w:r w:rsidR="00224D75">
        <w:rPr>
          <w:rFonts w:eastAsia="Times New Roman"/>
          <w:szCs w:val="24"/>
          <w:lang w:eastAsia="en-GB"/>
        </w:rPr>
        <w:t>grew by 19.6%</w:t>
      </w:r>
      <w:r w:rsidR="00196ACA">
        <w:rPr>
          <w:rFonts w:eastAsia="Times New Roman"/>
          <w:szCs w:val="24"/>
          <w:lang w:eastAsia="en-GB"/>
        </w:rPr>
        <w:t xml:space="preserve"> </w:t>
      </w:r>
      <w:r w:rsidR="00224D75">
        <w:rPr>
          <w:rFonts w:eastAsia="Times New Roman"/>
          <w:szCs w:val="24"/>
          <w:lang w:eastAsia="en-GB"/>
        </w:rPr>
        <w:t xml:space="preserve">in </w:t>
      </w:r>
      <w:r w:rsidR="00196ACA">
        <w:rPr>
          <w:rFonts w:eastAsia="Times New Roman"/>
          <w:szCs w:val="24"/>
          <w:lang w:eastAsia="en-GB"/>
        </w:rPr>
        <w:t>2019</w:t>
      </w:r>
      <w:r w:rsidR="007B28DA">
        <w:rPr>
          <w:rFonts w:eastAsia="Times New Roman"/>
          <w:szCs w:val="24"/>
          <w:lang w:eastAsia="en-GB"/>
        </w:rPr>
        <w:t xml:space="preserve">, </w:t>
      </w:r>
      <w:r w:rsidR="00BC6348">
        <w:rPr>
          <w:rFonts w:eastAsia="Times New Roman"/>
          <w:szCs w:val="24"/>
          <w:lang w:eastAsia="en-GB"/>
        </w:rPr>
        <w:t>overtaking medical technology (+0.9%)</w:t>
      </w:r>
      <w:r w:rsidR="009E2DE3">
        <w:rPr>
          <w:rFonts w:eastAsia="Times New Roman"/>
          <w:szCs w:val="24"/>
          <w:lang w:eastAsia="en-GB"/>
        </w:rPr>
        <w:t xml:space="preserve">, which had been </w:t>
      </w:r>
      <w:r w:rsidR="00533576" w:rsidRPr="00B16CC9">
        <w:rPr>
          <w:rFonts w:eastAsia="Times New Roman"/>
          <w:szCs w:val="24"/>
          <w:lang w:eastAsia="en-GB"/>
        </w:rPr>
        <w:t xml:space="preserve">the </w:t>
      </w:r>
      <w:r w:rsidR="00EB5ECE">
        <w:rPr>
          <w:rFonts w:eastAsia="Times New Roman"/>
          <w:szCs w:val="24"/>
          <w:lang w:eastAsia="en-GB"/>
        </w:rPr>
        <w:t xml:space="preserve">most </w:t>
      </w:r>
      <w:r w:rsidR="00C02740">
        <w:rPr>
          <w:rFonts w:eastAsia="Times New Roman"/>
          <w:szCs w:val="24"/>
          <w:lang w:eastAsia="en-GB"/>
        </w:rPr>
        <w:t>patent-</w:t>
      </w:r>
      <w:r w:rsidR="00EB5ECE">
        <w:rPr>
          <w:rFonts w:eastAsia="Times New Roman"/>
          <w:szCs w:val="24"/>
          <w:lang w:eastAsia="en-GB"/>
        </w:rPr>
        <w:t xml:space="preserve">active technology </w:t>
      </w:r>
      <w:r w:rsidR="009E2DE3">
        <w:rPr>
          <w:rFonts w:eastAsia="Times New Roman"/>
          <w:szCs w:val="24"/>
          <w:lang w:eastAsia="en-GB"/>
        </w:rPr>
        <w:t xml:space="preserve">since 2006. </w:t>
      </w:r>
      <w:bookmarkEnd w:id="8"/>
      <w:r w:rsidR="004E15E7">
        <w:rPr>
          <w:rFonts w:eastAsia="Times New Roman"/>
          <w:szCs w:val="24"/>
          <w:lang w:eastAsia="en-GB"/>
        </w:rPr>
        <w:t>This</w:t>
      </w:r>
      <w:r w:rsidR="004D14FF">
        <w:rPr>
          <w:rFonts w:eastAsia="Times New Roman"/>
          <w:szCs w:val="24"/>
          <w:lang w:eastAsia="en-GB"/>
        </w:rPr>
        <w:t xml:space="preserve"> field</w:t>
      </w:r>
      <w:r w:rsidR="002A3A86">
        <w:rPr>
          <w:rFonts w:eastAsia="Times New Roman"/>
          <w:szCs w:val="24"/>
          <w:lang w:eastAsia="en-GB"/>
        </w:rPr>
        <w:t>, which</w:t>
      </w:r>
      <w:r w:rsidR="004D14FF">
        <w:rPr>
          <w:rFonts w:eastAsia="Times New Roman"/>
          <w:szCs w:val="24"/>
          <w:lang w:eastAsia="en-GB"/>
        </w:rPr>
        <w:t xml:space="preserve"> </w:t>
      </w:r>
      <w:r w:rsidR="00CD681D">
        <w:rPr>
          <w:rFonts w:eastAsia="Times New Roman"/>
          <w:szCs w:val="24"/>
          <w:lang w:eastAsia="en-GB"/>
        </w:rPr>
        <w:t xml:space="preserve">lies at the intersection of </w:t>
      </w:r>
      <w:r w:rsidR="00E766ED" w:rsidRPr="00B16CC9">
        <w:rPr>
          <w:rFonts w:eastAsia="Times New Roman"/>
          <w:szCs w:val="24"/>
          <w:lang w:eastAsia="en-GB"/>
        </w:rPr>
        <w:t>telecommunications and computer</w:t>
      </w:r>
      <w:r w:rsidR="00FE785A">
        <w:rPr>
          <w:rFonts w:eastAsia="Times New Roman"/>
          <w:szCs w:val="24"/>
          <w:lang w:eastAsia="en-GB"/>
        </w:rPr>
        <w:t>s</w:t>
      </w:r>
      <w:r w:rsidR="007B28DA">
        <w:rPr>
          <w:rFonts w:eastAsia="Times New Roman"/>
          <w:szCs w:val="24"/>
          <w:lang w:eastAsia="en-GB"/>
        </w:rPr>
        <w:t xml:space="preserve">, includes technologies that are </w:t>
      </w:r>
      <w:r w:rsidR="007E6591">
        <w:t>crucial to implement</w:t>
      </w:r>
      <w:r w:rsidR="007B28DA">
        <w:t>ing</w:t>
      </w:r>
      <w:r w:rsidR="00E629D5">
        <w:t xml:space="preserve"> </w:t>
      </w:r>
      <w:r w:rsidR="007E6591">
        <w:t>5G</w:t>
      </w:r>
      <w:r w:rsidR="00E629D5">
        <w:t xml:space="preserve"> wireless networks</w:t>
      </w:r>
      <w:r w:rsidR="00FE785A">
        <w:rPr>
          <w:rFonts w:eastAsia="Times New Roman"/>
          <w:noProof/>
          <w:szCs w:val="24"/>
          <w:lang w:eastAsia="en-GB"/>
        </w:rPr>
        <w:t>.</w:t>
      </w:r>
    </w:p>
    <w:p w14:paraId="4CD21480" w14:textId="77777777" w:rsidR="00D02D22" w:rsidRDefault="00D02D22" w:rsidP="00AC40F8">
      <w:pPr>
        <w:spacing w:before="100" w:beforeAutospacing="1" w:after="100" w:afterAutospacing="1"/>
        <w:rPr>
          <w:rFonts w:eastAsia="Times New Roman"/>
          <w:szCs w:val="24"/>
          <w:lang w:eastAsia="en-GB"/>
        </w:rPr>
      </w:pPr>
      <w:r w:rsidRPr="00D02D22">
        <w:rPr>
          <w:rFonts w:eastAsia="Times New Roman"/>
          <w:noProof/>
          <w:szCs w:val="24"/>
          <w:lang w:eastAsia="en-GB"/>
        </w:rPr>
        <w:lastRenderedPageBreak/>
        <w:drawing>
          <wp:inline distT="0" distB="0" distL="0" distR="0" wp14:anchorId="1CF2FA1A" wp14:editId="30718B97">
            <wp:extent cx="4572396"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p>
    <w:p w14:paraId="1477E944" w14:textId="77777777" w:rsidR="00B86BEE" w:rsidRDefault="00B86BEE" w:rsidP="00AC40F8">
      <w:pPr>
        <w:spacing w:before="100" w:beforeAutospacing="1" w:after="100" w:afterAutospacing="1"/>
        <w:rPr>
          <w:rFonts w:eastAsia="Times New Roman"/>
          <w:szCs w:val="24"/>
          <w:lang w:eastAsia="en-GB"/>
        </w:rPr>
      </w:pPr>
    </w:p>
    <w:p w14:paraId="40BAEB95" w14:textId="33CD0389" w:rsidR="00D04BDA" w:rsidRPr="00B63292" w:rsidRDefault="00A66593" w:rsidP="00AC40F8">
      <w:pPr>
        <w:spacing w:before="100" w:beforeAutospacing="1" w:after="100" w:afterAutospacing="1"/>
        <w:rPr>
          <w:rFonts w:eastAsia="Times New Roman"/>
          <w:i/>
          <w:szCs w:val="24"/>
          <w:lang w:eastAsia="en-GB"/>
        </w:rPr>
      </w:pPr>
      <w:bookmarkStart w:id="10" w:name="_Hlk33619754"/>
      <w:r>
        <w:rPr>
          <w:rFonts w:eastAsia="Times New Roman"/>
          <w:szCs w:val="24"/>
          <w:lang w:eastAsia="en-GB"/>
        </w:rPr>
        <w:t>With</w:t>
      </w:r>
      <w:r w:rsidR="00EB5ECE">
        <w:rPr>
          <w:rFonts w:eastAsia="Times New Roman"/>
          <w:szCs w:val="24"/>
          <w:lang w:eastAsia="en-GB"/>
        </w:rPr>
        <w:t xml:space="preserve"> </w:t>
      </w:r>
      <w:r w:rsidR="00390C37">
        <w:rPr>
          <w:rFonts w:eastAsia="Times New Roman"/>
          <w:szCs w:val="24"/>
          <w:lang w:eastAsia="en-GB"/>
        </w:rPr>
        <w:t>a</w:t>
      </w:r>
      <w:r w:rsidR="00664EA0">
        <w:rPr>
          <w:rFonts w:eastAsia="Times New Roman"/>
          <w:szCs w:val="24"/>
          <w:lang w:eastAsia="en-GB"/>
        </w:rPr>
        <w:t>n</w:t>
      </w:r>
      <w:r w:rsidR="00C568C5">
        <w:rPr>
          <w:rFonts w:eastAsia="Times New Roman"/>
          <w:szCs w:val="24"/>
          <w:lang w:eastAsia="en-GB"/>
        </w:rPr>
        <w:t xml:space="preserve"> </w:t>
      </w:r>
      <w:r w:rsidR="00EB5ECE">
        <w:rPr>
          <w:rFonts w:eastAsia="Times New Roman"/>
          <w:szCs w:val="24"/>
          <w:lang w:eastAsia="en-GB"/>
        </w:rPr>
        <w:t xml:space="preserve">increase of </w:t>
      </w:r>
      <w:r w:rsidR="00CC1D49">
        <w:rPr>
          <w:rFonts w:eastAsia="Times New Roman"/>
          <w:szCs w:val="24"/>
          <w:lang w:eastAsia="en-GB"/>
        </w:rPr>
        <w:t>64.6</w:t>
      </w:r>
      <w:r w:rsidR="00EB5ECE">
        <w:rPr>
          <w:rFonts w:eastAsia="Times New Roman"/>
          <w:szCs w:val="24"/>
          <w:lang w:eastAsia="en-GB"/>
        </w:rPr>
        <w:t>%</w:t>
      </w:r>
      <w:r w:rsidR="007C4102">
        <w:rPr>
          <w:rFonts w:eastAsia="Times New Roman"/>
          <w:szCs w:val="24"/>
          <w:lang w:eastAsia="en-GB"/>
        </w:rPr>
        <w:t>,</w:t>
      </w:r>
      <w:r w:rsidR="00EB5ECE">
        <w:rPr>
          <w:rFonts w:eastAsia="Times New Roman"/>
          <w:szCs w:val="24"/>
          <w:lang w:eastAsia="en-GB"/>
        </w:rPr>
        <w:t xml:space="preserve"> </w:t>
      </w:r>
      <w:r w:rsidR="00C35D9A">
        <w:rPr>
          <w:rFonts w:eastAsia="Times New Roman"/>
          <w:szCs w:val="24"/>
          <w:lang w:eastAsia="en-GB"/>
        </w:rPr>
        <w:t>Chinese companies</w:t>
      </w:r>
      <w:r w:rsidR="00C35D9A" w:rsidRPr="00B16CC9">
        <w:rPr>
          <w:rFonts w:eastAsia="Times New Roman"/>
          <w:szCs w:val="24"/>
          <w:lang w:eastAsia="en-GB"/>
        </w:rPr>
        <w:t xml:space="preserve"> </w:t>
      </w:r>
      <w:r w:rsidR="00BC6348" w:rsidRPr="00B16CC9">
        <w:rPr>
          <w:rFonts w:eastAsia="Times New Roman"/>
          <w:szCs w:val="24"/>
          <w:lang w:eastAsia="en-GB"/>
        </w:rPr>
        <w:t xml:space="preserve">contributed most </w:t>
      </w:r>
      <w:r w:rsidR="00EB5ECE">
        <w:rPr>
          <w:rFonts w:eastAsia="Times New Roman"/>
          <w:szCs w:val="24"/>
          <w:lang w:eastAsia="en-GB"/>
        </w:rPr>
        <w:t>to the growth</w:t>
      </w:r>
      <w:r w:rsidR="00390C37">
        <w:rPr>
          <w:rFonts w:eastAsia="Times New Roman"/>
          <w:szCs w:val="24"/>
          <w:lang w:eastAsia="en-GB"/>
        </w:rPr>
        <w:t xml:space="preserve"> in </w:t>
      </w:r>
      <w:r w:rsidR="009E2DE3">
        <w:rPr>
          <w:rFonts w:eastAsia="Times New Roman"/>
          <w:szCs w:val="24"/>
          <w:lang w:eastAsia="en-GB"/>
        </w:rPr>
        <w:t>digital communication</w:t>
      </w:r>
      <w:r w:rsidR="00E629D5">
        <w:rPr>
          <w:rFonts w:eastAsia="Times New Roman"/>
          <w:szCs w:val="24"/>
          <w:lang w:eastAsia="en-GB"/>
        </w:rPr>
        <w:t xml:space="preserve"> patent applications</w:t>
      </w:r>
      <w:r w:rsidR="00EB5ECE">
        <w:rPr>
          <w:rFonts w:eastAsia="Times New Roman"/>
          <w:szCs w:val="24"/>
          <w:lang w:eastAsia="en-GB"/>
        </w:rPr>
        <w:t>,</w:t>
      </w:r>
      <w:r w:rsidR="00BC6348" w:rsidRPr="00B16CC9">
        <w:rPr>
          <w:rFonts w:eastAsia="Times New Roman"/>
          <w:szCs w:val="24"/>
          <w:lang w:eastAsia="en-GB"/>
        </w:rPr>
        <w:t xml:space="preserve"> with US (</w:t>
      </w:r>
      <w:r w:rsidR="008F6FDE">
        <w:rPr>
          <w:rFonts w:eastAsia="Times New Roman"/>
          <w:szCs w:val="24"/>
          <w:lang w:eastAsia="en-GB"/>
        </w:rPr>
        <w:t>+</w:t>
      </w:r>
      <w:r w:rsidR="00CC1D49">
        <w:rPr>
          <w:rFonts w:eastAsia="Times New Roman"/>
          <w:szCs w:val="24"/>
          <w:lang w:eastAsia="en-GB"/>
        </w:rPr>
        <w:t>14.6</w:t>
      </w:r>
      <w:r w:rsidR="008F6FDE">
        <w:rPr>
          <w:rFonts w:eastAsia="Times New Roman"/>
          <w:szCs w:val="24"/>
          <w:lang w:eastAsia="en-GB"/>
        </w:rPr>
        <w:t>%</w:t>
      </w:r>
      <w:r w:rsidR="00BC6348" w:rsidRPr="00B16CC9">
        <w:rPr>
          <w:rFonts w:eastAsia="Times New Roman"/>
          <w:szCs w:val="24"/>
          <w:lang w:eastAsia="en-GB"/>
        </w:rPr>
        <w:t xml:space="preserve">) and </w:t>
      </w:r>
      <w:r w:rsidR="00C02740">
        <w:rPr>
          <w:rFonts w:eastAsia="Times New Roman"/>
          <w:szCs w:val="24"/>
          <w:lang w:eastAsia="en-GB"/>
        </w:rPr>
        <w:t xml:space="preserve">South </w:t>
      </w:r>
      <w:r w:rsidR="00BC6348" w:rsidRPr="00B16CC9">
        <w:rPr>
          <w:rFonts w:eastAsia="Times New Roman"/>
          <w:szCs w:val="24"/>
          <w:lang w:eastAsia="en-GB"/>
        </w:rPr>
        <w:t>Korea</w:t>
      </w:r>
      <w:r w:rsidR="00C35D9A">
        <w:rPr>
          <w:rFonts w:eastAsia="Times New Roman"/>
          <w:szCs w:val="24"/>
          <w:lang w:eastAsia="en-GB"/>
        </w:rPr>
        <w:t>n firms</w:t>
      </w:r>
      <w:r w:rsidR="00BC6348" w:rsidRPr="00B16CC9">
        <w:rPr>
          <w:rFonts w:eastAsia="Times New Roman"/>
          <w:szCs w:val="24"/>
          <w:lang w:eastAsia="en-GB"/>
        </w:rPr>
        <w:t xml:space="preserve"> (</w:t>
      </w:r>
      <w:r w:rsidR="008F6FDE">
        <w:rPr>
          <w:rFonts w:eastAsia="Times New Roman"/>
          <w:szCs w:val="24"/>
          <w:lang w:eastAsia="en-GB"/>
        </w:rPr>
        <w:t>+36</w:t>
      </w:r>
      <w:r w:rsidR="00CC1D49">
        <w:rPr>
          <w:rFonts w:eastAsia="Times New Roman"/>
          <w:szCs w:val="24"/>
          <w:lang w:eastAsia="en-GB"/>
        </w:rPr>
        <w:t>.1</w:t>
      </w:r>
      <w:r w:rsidR="00BC6348" w:rsidRPr="00B16CC9">
        <w:rPr>
          <w:rFonts w:eastAsia="Times New Roman"/>
          <w:szCs w:val="24"/>
          <w:lang w:eastAsia="en-GB"/>
        </w:rPr>
        <w:t>%</w:t>
      </w:r>
      <w:r w:rsidR="008F6FDE">
        <w:rPr>
          <w:rFonts w:eastAsia="Times New Roman"/>
          <w:szCs w:val="24"/>
          <w:lang w:eastAsia="en-GB"/>
        </w:rPr>
        <w:t>, albeit from a smaller base</w:t>
      </w:r>
      <w:r w:rsidR="00BC6348" w:rsidRPr="00B16CC9">
        <w:rPr>
          <w:rFonts w:eastAsia="Times New Roman"/>
          <w:szCs w:val="24"/>
          <w:lang w:eastAsia="en-GB"/>
        </w:rPr>
        <w:t xml:space="preserve">) </w:t>
      </w:r>
      <w:r w:rsidR="00390C37">
        <w:rPr>
          <w:rFonts w:eastAsia="Times New Roman"/>
          <w:szCs w:val="24"/>
          <w:lang w:eastAsia="en-GB"/>
        </w:rPr>
        <w:t xml:space="preserve">following suit. </w:t>
      </w:r>
      <w:r w:rsidR="009E2DE3">
        <w:rPr>
          <w:rFonts w:eastAsia="Times New Roman"/>
          <w:szCs w:val="24"/>
          <w:lang w:eastAsia="en-GB"/>
        </w:rPr>
        <w:t>By comparison, filings from Europe grew</w:t>
      </w:r>
      <w:r w:rsidR="00C3025F">
        <w:rPr>
          <w:rFonts w:eastAsia="Times New Roman"/>
          <w:szCs w:val="24"/>
          <w:lang w:eastAsia="en-GB"/>
        </w:rPr>
        <w:t xml:space="preserve"> </w:t>
      </w:r>
      <w:r w:rsidR="00664EA0">
        <w:rPr>
          <w:rFonts w:eastAsia="Times New Roman"/>
          <w:szCs w:val="24"/>
          <w:lang w:eastAsia="en-GB"/>
        </w:rPr>
        <w:t>moderate</w:t>
      </w:r>
      <w:r w:rsidR="009E2DE3">
        <w:rPr>
          <w:rFonts w:eastAsia="Times New Roman"/>
          <w:szCs w:val="24"/>
          <w:lang w:eastAsia="en-GB"/>
        </w:rPr>
        <w:t xml:space="preserve">ly </w:t>
      </w:r>
      <w:r w:rsidR="00B04847">
        <w:rPr>
          <w:rFonts w:eastAsia="Times New Roman"/>
          <w:szCs w:val="24"/>
          <w:lang w:eastAsia="en-GB"/>
        </w:rPr>
        <w:t>(+3</w:t>
      </w:r>
      <w:r w:rsidR="00CC1D49">
        <w:rPr>
          <w:rFonts w:eastAsia="Times New Roman"/>
          <w:szCs w:val="24"/>
          <w:lang w:eastAsia="en-GB"/>
        </w:rPr>
        <w:t>.1</w:t>
      </w:r>
      <w:r w:rsidR="00B04847" w:rsidRPr="00B63292">
        <w:rPr>
          <w:rFonts w:eastAsia="Times New Roman"/>
          <w:szCs w:val="24"/>
          <w:lang w:eastAsia="en-GB"/>
        </w:rPr>
        <w:t>%)</w:t>
      </w:r>
      <w:r w:rsidR="00BC6348" w:rsidRPr="00B63292">
        <w:rPr>
          <w:rFonts w:eastAsia="Times New Roman"/>
          <w:szCs w:val="24"/>
          <w:lang w:eastAsia="en-GB"/>
        </w:rPr>
        <w:t>.</w:t>
      </w:r>
      <w:r w:rsidR="00664EA0" w:rsidRPr="00B63292">
        <w:rPr>
          <w:rFonts w:eastAsia="Times New Roman"/>
          <w:szCs w:val="24"/>
          <w:lang w:eastAsia="en-GB"/>
        </w:rPr>
        <w:t xml:space="preserve"> </w:t>
      </w:r>
      <w:r w:rsidR="00C02740" w:rsidRPr="00B63292">
        <w:rPr>
          <w:rFonts w:eastAsia="Times New Roman"/>
          <w:szCs w:val="24"/>
          <w:lang w:eastAsia="en-GB"/>
        </w:rPr>
        <w:t xml:space="preserve">In terms of </w:t>
      </w:r>
      <w:r w:rsidR="00C3065B" w:rsidRPr="00B63292">
        <w:rPr>
          <w:rFonts w:eastAsia="Times New Roman"/>
          <w:szCs w:val="24"/>
          <w:lang w:eastAsia="en-GB"/>
        </w:rPr>
        <w:t>share</w:t>
      </w:r>
      <w:r w:rsidR="00EB5ECE" w:rsidRPr="00B63292">
        <w:rPr>
          <w:rFonts w:eastAsia="Times New Roman"/>
          <w:szCs w:val="24"/>
          <w:lang w:eastAsia="en-GB"/>
        </w:rPr>
        <w:t xml:space="preserve">, </w:t>
      </w:r>
      <w:r w:rsidR="00BC6348" w:rsidRPr="00B63292">
        <w:rPr>
          <w:rFonts w:eastAsia="Times New Roman"/>
          <w:szCs w:val="24"/>
          <w:lang w:eastAsia="en-GB"/>
        </w:rPr>
        <w:t>China</w:t>
      </w:r>
      <w:r w:rsidR="0095278F" w:rsidRPr="00B63292">
        <w:rPr>
          <w:rFonts w:eastAsia="Times New Roman"/>
          <w:szCs w:val="24"/>
          <w:lang w:eastAsia="en-GB"/>
        </w:rPr>
        <w:t xml:space="preserve">, </w:t>
      </w:r>
      <w:r w:rsidR="00BC6348" w:rsidRPr="00B63292">
        <w:rPr>
          <w:rFonts w:eastAsia="Times New Roman"/>
          <w:szCs w:val="24"/>
          <w:lang w:eastAsia="en-GB"/>
        </w:rPr>
        <w:t xml:space="preserve">the US </w:t>
      </w:r>
      <w:r w:rsidR="0095278F" w:rsidRPr="00B63292">
        <w:rPr>
          <w:rFonts w:eastAsia="Times New Roman"/>
          <w:szCs w:val="24"/>
          <w:lang w:eastAsia="en-GB"/>
        </w:rPr>
        <w:t xml:space="preserve">and Europe </w:t>
      </w:r>
      <w:r w:rsidR="000F3839" w:rsidRPr="00B63292">
        <w:rPr>
          <w:rFonts w:eastAsia="Times New Roman"/>
          <w:szCs w:val="24"/>
          <w:lang w:eastAsia="en-GB"/>
        </w:rPr>
        <w:t>are now</w:t>
      </w:r>
      <w:r w:rsidR="004A2B4D" w:rsidRPr="00B63292">
        <w:rPr>
          <w:rFonts w:eastAsia="Times New Roman"/>
          <w:szCs w:val="24"/>
          <w:lang w:eastAsia="en-GB"/>
        </w:rPr>
        <w:t xml:space="preserve"> </w:t>
      </w:r>
      <w:r w:rsidR="00D1644C" w:rsidRPr="00B63292">
        <w:rPr>
          <w:rFonts w:eastAsia="Times New Roman"/>
          <w:szCs w:val="24"/>
          <w:lang w:eastAsia="en-GB"/>
        </w:rPr>
        <w:t>the joint leaders</w:t>
      </w:r>
      <w:r w:rsidR="00C02740" w:rsidRPr="00B63292">
        <w:rPr>
          <w:rFonts w:eastAsia="Times New Roman"/>
          <w:szCs w:val="24"/>
          <w:lang w:eastAsia="en-GB"/>
        </w:rPr>
        <w:t>,</w:t>
      </w:r>
      <w:r w:rsidR="000F3839" w:rsidRPr="00B63292">
        <w:rPr>
          <w:rFonts w:eastAsia="Times New Roman"/>
          <w:szCs w:val="24"/>
          <w:lang w:eastAsia="en-GB"/>
        </w:rPr>
        <w:t xml:space="preserve"> each </w:t>
      </w:r>
      <w:r w:rsidR="0095278F" w:rsidRPr="00B63292">
        <w:rPr>
          <w:rFonts w:eastAsia="Times New Roman"/>
          <w:szCs w:val="24"/>
          <w:lang w:eastAsia="en-GB"/>
        </w:rPr>
        <w:t>account</w:t>
      </w:r>
      <w:r w:rsidR="000F3839" w:rsidRPr="00B63292">
        <w:rPr>
          <w:rFonts w:eastAsia="Times New Roman"/>
          <w:szCs w:val="24"/>
          <w:lang w:eastAsia="en-GB"/>
        </w:rPr>
        <w:t>ing</w:t>
      </w:r>
      <w:r w:rsidR="0095278F" w:rsidRPr="00B63292">
        <w:rPr>
          <w:rFonts w:eastAsia="Times New Roman"/>
          <w:szCs w:val="24"/>
          <w:lang w:eastAsia="en-GB"/>
        </w:rPr>
        <w:t xml:space="preserve"> for </w:t>
      </w:r>
      <w:r w:rsidR="007E6591" w:rsidRPr="00B63292">
        <w:rPr>
          <w:rFonts w:eastAsia="Times New Roman"/>
          <w:szCs w:val="24"/>
          <w:lang w:eastAsia="en-GB"/>
        </w:rPr>
        <w:t xml:space="preserve">roughly </w:t>
      </w:r>
      <w:r w:rsidR="0095278F" w:rsidRPr="00B63292">
        <w:rPr>
          <w:rFonts w:eastAsia="Times New Roman"/>
          <w:szCs w:val="24"/>
          <w:lang w:eastAsia="en-GB"/>
        </w:rPr>
        <w:t xml:space="preserve">a quarter of </w:t>
      </w:r>
      <w:r w:rsidR="00B04847" w:rsidRPr="00B63292">
        <w:rPr>
          <w:rFonts w:eastAsia="Times New Roman"/>
          <w:szCs w:val="24"/>
          <w:lang w:eastAsia="en-GB"/>
        </w:rPr>
        <w:t xml:space="preserve">all </w:t>
      </w:r>
      <w:r w:rsidR="00EB5ECE" w:rsidRPr="00B63292">
        <w:rPr>
          <w:rFonts w:eastAsia="Times New Roman"/>
          <w:szCs w:val="24"/>
          <w:lang w:eastAsia="en-GB"/>
        </w:rPr>
        <w:t xml:space="preserve">patent </w:t>
      </w:r>
      <w:r w:rsidR="0095278F" w:rsidRPr="00B63292">
        <w:rPr>
          <w:rFonts w:eastAsia="Times New Roman"/>
          <w:szCs w:val="24"/>
          <w:lang w:eastAsia="en-GB"/>
        </w:rPr>
        <w:t xml:space="preserve">applications </w:t>
      </w:r>
      <w:r w:rsidR="00E629D5" w:rsidRPr="00B63292">
        <w:rPr>
          <w:rFonts w:eastAsia="Times New Roman"/>
          <w:szCs w:val="24"/>
          <w:lang w:eastAsia="en-GB"/>
        </w:rPr>
        <w:t xml:space="preserve">filed with </w:t>
      </w:r>
      <w:r w:rsidR="00C02740" w:rsidRPr="00B63292">
        <w:rPr>
          <w:rFonts w:eastAsia="Times New Roman"/>
          <w:szCs w:val="24"/>
          <w:lang w:eastAsia="en-GB"/>
        </w:rPr>
        <w:t xml:space="preserve">the EPO </w:t>
      </w:r>
      <w:r w:rsidR="0095278F" w:rsidRPr="00B63292">
        <w:rPr>
          <w:rFonts w:eastAsia="Times New Roman"/>
          <w:szCs w:val="24"/>
          <w:lang w:eastAsia="en-GB"/>
        </w:rPr>
        <w:t>in this field</w:t>
      </w:r>
      <w:r w:rsidR="00BC6348" w:rsidRPr="00B63292">
        <w:rPr>
          <w:rFonts w:eastAsia="Times New Roman"/>
          <w:szCs w:val="24"/>
          <w:lang w:eastAsia="en-GB"/>
        </w:rPr>
        <w:t xml:space="preserve">. </w:t>
      </w:r>
      <w:r w:rsidR="00C35D9A" w:rsidRPr="00B63292">
        <w:rPr>
          <w:rFonts w:eastAsia="Times New Roman"/>
          <w:szCs w:val="24"/>
          <w:lang w:eastAsia="en-GB"/>
        </w:rPr>
        <w:t xml:space="preserve">The </w:t>
      </w:r>
      <w:r w:rsidR="000F3839" w:rsidRPr="00B63292">
        <w:rPr>
          <w:rFonts w:eastAsia="Times New Roman"/>
          <w:szCs w:val="24"/>
          <w:lang w:eastAsia="en-GB"/>
        </w:rPr>
        <w:t xml:space="preserve">top </w:t>
      </w:r>
      <w:r w:rsidR="00801AF7" w:rsidRPr="00B63292">
        <w:rPr>
          <w:rFonts w:eastAsia="Times New Roman"/>
          <w:szCs w:val="24"/>
          <w:lang w:eastAsia="en-GB"/>
        </w:rPr>
        <w:t xml:space="preserve">three </w:t>
      </w:r>
      <w:r w:rsidR="000F3839" w:rsidRPr="00B63292">
        <w:rPr>
          <w:rFonts w:eastAsia="Times New Roman"/>
          <w:szCs w:val="24"/>
          <w:lang w:eastAsia="en-GB"/>
        </w:rPr>
        <w:t>applicants in 2019 were</w:t>
      </w:r>
      <w:r w:rsidR="00C35D9A" w:rsidRPr="00B63292">
        <w:rPr>
          <w:rFonts w:eastAsia="Times New Roman"/>
          <w:szCs w:val="24"/>
          <w:lang w:eastAsia="en-GB"/>
        </w:rPr>
        <w:t xml:space="preserve"> Huawei, Ericsson and Qualcomm</w:t>
      </w:r>
      <w:r w:rsidR="00D70ADD" w:rsidRPr="00B63292">
        <w:rPr>
          <w:rFonts w:eastAsia="Times New Roman"/>
          <w:szCs w:val="24"/>
          <w:lang w:eastAsia="en-GB"/>
        </w:rPr>
        <w:t xml:space="preserve"> (</w:t>
      </w:r>
      <w:r w:rsidR="00B63292" w:rsidRPr="00B63292">
        <w:rPr>
          <w:rFonts w:eastAsia="Times New Roman"/>
          <w:szCs w:val="24"/>
          <w:lang w:eastAsia="en-GB"/>
        </w:rPr>
        <w:t>Fig.:</w:t>
      </w:r>
      <w:r w:rsidR="00D70ADD" w:rsidRPr="00B63292">
        <w:rPr>
          <w:rFonts w:eastAsia="Times New Roman"/>
          <w:i/>
          <w:szCs w:val="24"/>
          <w:lang w:eastAsia="en-GB"/>
        </w:rPr>
        <w:t xml:space="preserve"> </w:t>
      </w:r>
      <w:hyperlink r:id="rId12" w:history="1">
        <w:r w:rsidR="00D70ADD" w:rsidRPr="00B63292">
          <w:rPr>
            <w:rStyle w:val="Hyperlink"/>
            <w:rFonts w:eastAsia="Times New Roman"/>
            <w:i/>
            <w:szCs w:val="24"/>
            <w:lang w:eastAsia="en-GB"/>
          </w:rPr>
          <w:t>Leading applicants, digital communication</w:t>
        </w:r>
      </w:hyperlink>
      <w:r w:rsidR="00D70ADD" w:rsidRPr="00B63292">
        <w:rPr>
          <w:rFonts w:eastAsia="Times New Roman"/>
          <w:i/>
          <w:szCs w:val="24"/>
          <w:lang w:eastAsia="en-GB"/>
        </w:rPr>
        <w:t>)</w:t>
      </w:r>
      <w:r w:rsidR="00C35D9A" w:rsidRPr="00B63292">
        <w:rPr>
          <w:rFonts w:eastAsia="Times New Roman"/>
          <w:i/>
          <w:szCs w:val="24"/>
          <w:lang w:eastAsia="en-GB"/>
        </w:rPr>
        <w:t xml:space="preserve">. </w:t>
      </w:r>
      <w:r w:rsidR="00651B83" w:rsidRPr="00B63292">
        <w:rPr>
          <w:rFonts w:eastAsia="Times New Roman"/>
          <w:i/>
          <w:szCs w:val="24"/>
          <w:lang w:eastAsia="en-GB"/>
        </w:rPr>
        <w:t xml:space="preserve"> </w:t>
      </w:r>
    </w:p>
    <w:p w14:paraId="3BA34301" w14:textId="503F193F" w:rsidR="00C7442C" w:rsidRPr="00B63292" w:rsidRDefault="002979A5" w:rsidP="00D04BDA">
      <w:pPr>
        <w:spacing w:before="100" w:beforeAutospacing="1" w:after="100" w:afterAutospacing="1"/>
      </w:pPr>
      <w:r w:rsidRPr="00B63292">
        <w:rPr>
          <w:rFonts w:eastAsia="Times New Roman"/>
          <w:szCs w:val="24"/>
          <w:lang w:eastAsia="en-GB"/>
        </w:rPr>
        <w:t>The</w:t>
      </w:r>
      <w:r w:rsidR="00FC5349" w:rsidRPr="00B63292">
        <w:rPr>
          <w:rFonts w:eastAsia="Times New Roman"/>
          <w:szCs w:val="24"/>
          <w:lang w:eastAsia="en-GB"/>
        </w:rPr>
        <w:t xml:space="preserve"> second fastest</w:t>
      </w:r>
      <w:r w:rsidR="00CF66C3" w:rsidRPr="00B63292">
        <w:rPr>
          <w:rFonts w:eastAsia="Times New Roman"/>
          <w:szCs w:val="24"/>
          <w:lang w:eastAsia="en-GB"/>
        </w:rPr>
        <w:t>-</w:t>
      </w:r>
      <w:r w:rsidR="00FC5349" w:rsidRPr="00B63292">
        <w:rPr>
          <w:rFonts w:eastAsia="Times New Roman"/>
          <w:szCs w:val="24"/>
          <w:lang w:eastAsia="en-GB"/>
        </w:rPr>
        <w:t xml:space="preserve">growing field </w:t>
      </w:r>
      <w:r w:rsidR="00147C17" w:rsidRPr="00B63292">
        <w:rPr>
          <w:rFonts w:eastAsia="Times New Roman"/>
          <w:szCs w:val="24"/>
          <w:lang w:eastAsia="en-GB"/>
        </w:rPr>
        <w:t xml:space="preserve">at the EPO </w:t>
      </w:r>
      <w:r w:rsidR="00390C37" w:rsidRPr="00B63292">
        <w:rPr>
          <w:rFonts w:eastAsia="Times New Roman"/>
          <w:szCs w:val="24"/>
          <w:lang w:eastAsia="en-GB"/>
        </w:rPr>
        <w:t xml:space="preserve">in 2019 </w:t>
      </w:r>
      <w:r w:rsidR="0006286A" w:rsidRPr="00B63292">
        <w:rPr>
          <w:rFonts w:eastAsia="Times New Roman"/>
          <w:szCs w:val="24"/>
          <w:lang w:eastAsia="en-GB"/>
        </w:rPr>
        <w:t>was computer</w:t>
      </w:r>
      <w:r w:rsidR="004974BB" w:rsidRPr="00B63292">
        <w:rPr>
          <w:rFonts w:eastAsia="Times New Roman"/>
          <w:szCs w:val="24"/>
          <w:lang w:eastAsia="en-GB"/>
        </w:rPr>
        <w:t xml:space="preserve"> technology</w:t>
      </w:r>
      <w:r w:rsidR="00CF66C3" w:rsidRPr="00B63292">
        <w:rPr>
          <w:rFonts w:eastAsia="Times New Roman"/>
          <w:szCs w:val="24"/>
          <w:lang w:eastAsia="en-GB"/>
        </w:rPr>
        <w:t xml:space="preserve"> (+1</w:t>
      </w:r>
      <w:r w:rsidR="0006286A" w:rsidRPr="00B63292">
        <w:rPr>
          <w:rFonts w:eastAsia="Times New Roman"/>
          <w:szCs w:val="24"/>
          <w:lang w:eastAsia="en-GB"/>
        </w:rPr>
        <w:t>0.2%</w:t>
      </w:r>
      <w:r w:rsidR="00CF66C3" w:rsidRPr="00B63292">
        <w:rPr>
          <w:rFonts w:eastAsia="Times New Roman"/>
          <w:szCs w:val="24"/>
          <w:lang w:eastAsia="en-GB"/>
        </w:rPr>
        <w:t>)</w:t>
      </w:r>
      <w:r w:rsidR="0006286A" w:rsidRPr="00B63292">
        <w:rPr>
          <w:rFonts w:eastAsia="Times New Roman"/>
          <w:szCs w:val="24"/>
          <w:lang w:eastAsia="en-GB"/>
        </w:rPr>
        <w:t>.</w:t>
      </w:r>
      <w:r w:rsidR="000F3839" w:rsidRPr="00B63292">
        <w:t xml:space="preserve"> Here the </w:t>
      </w:r>
      <w:r w:rsidR="00C7442C" w:rsidRPr="00B63292">
        <w:t>driving factor for growth</w:t>
      </w:r>
      <w:r w:rsidR="000F3839" w:rsidRPr="00B63292">
        <w:t xml:space="preserve"> was the increase in</w:t>
      </w:r>
      <w:r w:rsidR="00C7442C" w:rsidRPr="00B63292">
        <w:t xml:space="preserve"> patent applications </w:t>
      </w:r>
      <w:r w:rsidR="00424151" w:rsidRPr="00B63292">
        <w:t xml:space="preserve">related to </w:t>
      </w:r>
      <w:r w:rsidR="00906F8B" w:rsidRPr="00B63292">
        <w:t>a</w:t>
      </w:r>
      <w:r w:rsidR="00C7442C" w:rsidRPr="00B63292">
        <w:t xml:space="preserve">rtificial </w:t>
      </w:r>
      <w:r w:rsidR="00906F8B" w:rsidRPr="00B63292">
        <w:t>i</w:t>
      </w:r>
      <w:r w:rsidR="00C7442C" w:rsidRPr="00B63292">
        <w:t xml:space="preserve">ntelligence, </w:t>
      </w:r>
      <w:r w:rsidR="000F3839" w:rsidRPr="00B63292">
        <w:t>especially</w:t>
      </w:r>
      <w:r w:rsidR="00C7442C" w:rsidRPr="00B63292">
        <w:t xml:space="preserve"> in the areas of machine learning</w:t>
      </w:r>
      <w:r w:rsidR="00424151" w:rsidRPr="00B63292">
        <w:t xml:space="preserve"> and pattern recognition</w:t>
      </w:r>
      <w:r w:rsidR="00C7442C" w:rsidRPr="00B63292">
        <w:t xml:space="preserve">, </w:t>
      </w:r>
      <w:r w:rsidR="00424151" w:rsidRPr="00B63292">
        <w:t>image data processing</w:t>
      </w:r>
      <w:r w:rsidR="00F4104F" w:rsidRPr="00B63292">
        <w:t xml:space="preserve"> and generation</w:t>
      </w:r>
      <w:r w:rsidR="00424151" w:rsidRPr="00B63292">
        <w:t xml:space="preserve">, and </w:t>
      </w:r>
      <w:r w:rsidR="00C7442C" w:rsidRPr="00B63292">
        <w:t xml:space="preserve">data retrieval. </w:t>
      </w:r>
    </w:p>
    <w:p w14:paraId="6364E15F" w14:textId="4864F8F7" w:rsidR="00FD7565" w:rsidRPr="00B63292" w:rsidRDefault="00FD7565" w:rsidP="00FD7565">
      <w:r w:rsidRPr="00B63292">
        <w:t xml:space="preserve">US companies </w:t>
      </w:r>
      <w:r w:rsidR="007F7272" w:rsidRPr="00B63292">
        <w:t>(</w:t>
      </w:r>
      <w:r w:rsidR="00C3065B" w:rsidRPr="00B63292">
        <w:t>+</w:t>
      </w:r>
      <w:r w:rsidR="00CC1D49" w:rsidRPr="00B63292">
        <w:t>13.6</w:t>
      </w:r>
      <w:r w:rsidR="007F7272" w:rsidRPr="00B63292">
        <w:t>%</w:t>
      </w:r>
      <w:r w:rsidR="00793C6F" w:rsidRPr="00B63292">
        <w:t xml:space="preserve"> </w:t>
      </w:r>
      <w:r w:rsidR="00C3065B" w:rsidRPr="00B63292">
        <w:t>over</w:t>
      </w:r>
      <w:r w:rsidR="00793C6F" w:rsidRPr="00B63292">
        <w:t xml:space="preserve"> 2018</w:t>
      </w:r>
      <w:r w:rsidR="007F7272" w:rsidRPr="00B63292">
        <w:t xml:space="preserve">) </w:t>
      </w:r>
      <w:r w:rsidRPr="00B63292">
        <w:t>account</w:t>
      </w:r>
      <w:r w:rsidR="00390C37" w:rsidRPr="00B63292">
        <w:t>ed</w:t>
      </w:r>
      <w:r w:rsidRPr="00B63292">
        <w:t xml:space="preserve"> for </w:t>
      </w:r>
      <w:r w:rsidR="00640F18" w:rsidRPr="00B63292">
        <w:t>nearly 40</w:t>
      </w:r>
      <w:r w:rsidRPr="00B63292">
        <w:t xml:space="preserve">% of all </w:t>
      </w:r>
      <w:r w:rsidR="002979A5" w:rsidRPr="00B63292">
        <w:t xml:space="preserve">patent </w:t>
      </w:r>
      <w:r w:rsidRPr="00B63292">
        <w:t xml:space="preserve">applications </w:t>
      </w:r>
      <w:r w:rsidR="002979A5" w:rsidRPr="00B63292">
        <w:t>in</w:t>
      </w:r>
      <w:r w:rsidR="00765297" w:rsidRPr="00B63292">
        <w:t xml:space="preserve"> </w:t>
      </w:r>
      <w:r w:rsidR="001C57D4" w:rsidRPr="00B63292">
        <w:t>computer technology</w:t>
      </w:r>
      <w:r w:rsidR="00765297" w:rsidRPr="00B63292">
        <w:t>,</w:t>
      </w:r>
      <w:r w:rsidRPr="00B63292">
        <w:t xml:space="preserve"> followed by EPO </w:t>
      </w:r>
      <w:r w:rsidR="00C568C5" w:rsidRPr="00B63292">
        <w:t xml:space="preserve">member </w:t>
      </w:r>
      <w:r w:rsidRPr="00B63292">
        <w:t xml:space="preserve">states </w:t>
      </w:r>
      <w:r w:rsidR="0087137B" w:rsidRPr="00B63292">
        <w:t>(+9</w:t>
      </w:r>
      <w:r w:rsidR="00CC1D49" w:rsidRPr="00B63292">
        <w:t>.3</w:t>
      </w:r>
      <w:r w:rsidR="0087137B" w:rsidRPr="00B63292">
        <w:t xml:space="preserve">%) </w:t>
      </w:r>
      <w:r w:rsidR="00640F18" w:rsidRPr="00B63292">
        <w:t>with</w:t>
      </w:r>
      <w:r w:rsidRPr="00B63292">
        <w:t xml:space="preserve"> </w:t>
      </w:r>
      <w:r w:rsidR="00640F18" w:rsidRPr="00B63292">
        <w:t>almost 30%</w:t>
      </w:r>
      <w:r w:rsidR="00054A6D" w:rsidRPr="00B63292">
        <w:t xml:space="preserve"> of the total</w:t>
      </w:r>
      <w:r w:rsidR="00640F18" w:rsidRPr="00B63292">
        <w:t xml:space="preserve">. </w:t>
      </w:r>
      <w:r w:rsidR="007075A9" w:rsidRPr="00B63292">
        <w:t>Applications from China (+</w:t>
      </w:r>
      <w:r w:rsidR="00CC1D49" w:rsidRPr="00B63292">
        <w:t>18.7</w:t>
      </w:r>
      <w:r w:rsidR="007075A9" w:rsidRPr="00B63292">
        <w:t xml:space="preserve">%) </w:t>
      </w:r>
      <w:r w:rsidR="00906F8B" w:rsidRPr="00B63292">
        <w:t>made</w:t>
      </w:r>
      <w:r w:rsidR="007075A9" w:rsidRPr="00B63292">
        <w:t xml:space="preserve"> up</w:t>
      </w:r>
      <w:r w:rsidR="00FE785A" w:rsidRPr="00B63292">
        <w:t xml:space="preserve"> </w:t>
      </w:r>
      <w:r w:rsidR="007075A9" w:rsidRPr="00B63292">
        <w:t xml:space="preserve">just over 10%. </w:t>
      </w:r>
      <w:r w:rsidR="00640F18" w:rsidRPr="00B63292">
        <w:t xml:space="preserve">The leading applicants </w:t>
      </w:r>
      <w:r w:rsidR="00765297" w:rsidRPr="00B63292">
        <w:t xml:space="preserve">in 2019 were </w:t>
      </w:r>
      <w:r w:rsidR="00640F18" w:rsidRPr="00B63292">
        <w:t xml:space="preserve">Alphabet (Google), </w:t>
      </w:r>
      <w:r w:rsidR="00975218" w:rsidRPr="00B63292">
        <w:t xml:space="preserve">Microsoft, </w:t>
      </w:r>
      <w:r w:rsidR="00640F18" w:rsidRPr="00B63292">
        <w:t>Samsung, Huawei, Intel and Siemens</w:t>
      </w:r>
      <w:r w:rsidR="002B53CF" w:rsidRPr="00B63292">
        <w:t xml:space="preserve"> </w:t>
      </w:r>
      <w:r w:rsidR="00147C17" w:rsidRPr="00B63292">
        <w:t>(</w:t>
      </w:r>
      <w:r w:rsidR="00B63292" w:rsidRPr="00B63292">
        <w:t xml:space="preserve">Fig.: </w:t>
      </w:r>
      <w:hyperlink r:id="rId13" w:history="1">
        <w:r w:rsidR="00147C17" w:rsidRPr="00B63292">
          <w:rPr>
            <w:rStyle w:val="Hyperlink"/>
            <w:i/>
          </w:rPr>
          <w:t>Leading applicants, computer technology</w:t>
        </w:r>
      </w:hyperlink>
      <w:r w:rsidR="00147C17" w:rsidRPr="00B63292">
        <w:rPr>
          <w:i/>
        </w:rPr>
        <w:t>).</w:t>
      </w:r>
      <w:r w:rsidR="00147C17" w:rsidRPr="00B63292">
        <w:rPr>
          <w:b/>
          <w:i/>
        </w:rPr>
        <w:t xml:space="preserve"> </w:t>
      </w:r>
      <w:bookmarkStart w:id="11" w:name="_Hlk32405728"/>
      <w:r w:rsidR="00AC40F8" w:rsidRPr="00B63292">
        <w:t>A</w:t>
      </w:r>
      <w:r w:rsidR="002B53CF" w:rsidRPr="00B63292">
        <w:t xml:space="preserve"> </w:t>
      </w:r>
      <w:r w:rsidR="00147C17" w:rsidRPr="00B63292">
        <w:t>significant proportion</w:t>
      </w:r>
      <w:r w:rsidR="002B53CF" w:rsidRPr="00B63292">
        <w:t xml:space="preserve"> of the growth </w:t>
      </w:r>
      <w:r w:rsidR="007075A9" w:rsidRPr="00B63292">
        <w:t xml:space="preserve">in 2019 </w:t>
      </w:r>
      <w:r w:rsidR="00906F8B" w:rsidRPr="00B63292">
        <w:t xml:space="preserve">also </w:t>
      </w:r>
      <w:r w:rsidR="00975218" w:rsidRPr="00B63292">
        <w:t>came</w:t>
      </w:r>
      <w:r w:rsidR="002B53CF" w:rsidRPr="00B63292">
        <w:t xml:space="preserve"> from smaller applicants, and from new players. </w:t>
      </w:r>
    </w:p>
    <w:bookmarkEnd w:id="11"/>
    <w:bookmarkEnd w:id="10"/>
    <w:p w14:paraId="2AA17BDF" w14:textId="77777777" w:rsidR="003A7D65" w:rsidRPr="00B63292" w:rsidRDefault="003A7D65" w:rsidP="00FD7565"/>
    <w:p w14:paraId="59AA9589" w14:textId="4F215B81" w:rsidR="00AC40F8" w:rsidRPr="00B63292" w:rsidRDefault="00AC40F8" w:rsidP="00322C30">
      <w:r w:rsidRPr="00B63292">
        <w:rPr>
          <w:rFonts w:eastAsia="Times New Roman"/>
          <w:b/>
          <w:sz w:val="27"/>
          <w:szCs w:val="27"/>
          <w:lang w:eastAsia="en-GB"/>
        </w:rPr>
        <w:t>European companies lead in transport</w:t>
      </w:r>
    </w:p>
    <w:p w14:paraId="7B09A8B7" w14:textId="51F009BA" w:rsidR="00CE27C1" w:rsidRDefault="00CF66C3" w:rsidP="006D23C6">
      <w:pPr>
        <w:spacing w:before="100" w:beforeAutospacing="1" w:after="100" w:afterAutospacing="1"/>
        <w:rPr>
          <w:rFonts w:eastAsia="Times New Roman"/>
          <w:szCs w:val="24"/>
          <w:lang w:eastAsia="en-GB"/>
        </w:rPr>
      </w:pPr>
      <w:r w:rsidRPr="00B63292">
        <w:rPr>
          <w:rFonts w:eastAsia="Times New Roman"/>
          <w:szCs w:val="24"/>
          <w:lang w:eastAsia="en-GB"/>
        </w:rPr>
        <w:t>Other technical fields with s</w:t>
      </w:r>
      <w:r w:rsidR="00EE155E" w:rsidRPr="00B63292">
        <w:rPr>
          <w:rFonts w:eastAsia="Times New Roman"/>
          <w:szCs w:val="24"/>
          <w:lang w:eastAsia="en-GB"/>
        </w:rPr>
        <w:t xml:space="preserve">olid growth </w:t>
      </w:r>
      <w:r w:rsidR="00AC40F8" w:rsidRPr="00B63292">
        <w:rPr>
          <w:rFonts w:eastAsia="Times New Roman"/>
          <w:szCs w:val="24"/>
          <w:lang w:eastAsia="en-GB"/>
        </w:rPr>
        <w:t xml:space="preserve">at the EPO in 2019 </w:t>
      </w:r>
      <w:r w:rsidR="00C75BA2" w:rsidRPr="00B63292">
        <w:rPr>
          <w:rFonts w:eastAsia="Times New Roman"/>
          <w:szCs w:val="24"/>
          <w:lang w:eastAsia="en-GB"/>
        </w:rPr>
        <w:t>were:</w:t>
      </w:r>
      <w:r w:rsidR="00EE155E" w:rsidRPr="00B63292">
        <w:rPr>
          <w:rFonts w:eastAsia="Times New Roman"/>
          <w:szCs w:val="24"/>
          <w:lang w:eastAsia="en-GB"/>
        </w:rPr>
        <w:t xml:space="preserve"> transport (</w:t>
      </w:r>
      <w:r w:rsidR="0006286A" w:rsidRPr="00B63292">
        <w:rPr>
          <w:rFonts w:eastAsia="Times New Roman"/>
          <w:szCs w:val="24"/>
          <w:lang w:eastAsia="en-GB"/>
        </w:rPr>
        <w:t>+</w:t>
      </w:r>
      <w:r w:rsidR="00EE155E" w:rsidRPr="00B63292">
        <w:rPr>
          <w:rFonts w:eastAsia="Times New Roman"/>
          <w:szCs w:val="24"/>
          <w:lang w:eastAsia="en-GB"/>
        </w:rPr>
        <w:t>6.6%</w:t>
      </w:r>
      <w:r w:rsidR="006E159A" w:rsidRPr="00B63292">
        <w:rPr>
          <w:rFonts w:eastAsia="Times New Roman"/>
          <w:szCs w:val="24"/>
          <w:lang w:eastAsia="en-GB"/>
        </w:rPr>
        <w:t xml:space="preserve"> over 2018</w:t>
      </w:r>
      <w:r w:rsidR="00EE155E" w:rsidRPr="00B63292">
        <w:rPr>
          <w:rFonts w:eastAsia="Times New Roman"/>
          <w:szCs w:val="24"/>
          <w:lang w:eastAsia="en-GB"/>
        </w:rPr>
        <w:t>)</w:t>
      </w:r>
      <w:r w:rsidR="008A6C3B" w:rsidRPr="00B63292">
        <w:rPr>
          <w:rFonts w:eastAsia="Times New Roman"/>
          <w:szCs w:val="24"/>
          <w:lang w:eastAsia="en-GB"/>
        </w:rPr>
        <w:t>,</w:t>
      </w:r>
      <w:r w:rsidR="007C5382" w:rsidRPr="00B63292">
        <w:rPr>
          <w:rFonts w:eastAsia="Times New Roman"/>
          <w:szCs w:val="24"/>
          <w:lang w:eastAsia="en-GB"/>
        </w:rPr>
        <w:t xml:space="preserve"> </w:t>
      </w:r>
      <w:r w:rsidR="00906F8B" w:rsidRPr="00B63292">
        <w:rPr>
          <w:rFonts w:eastAsia="Times New Roman"/>
          <w:szCs w:val="24"/>
          <w:lang w:eastAsia="en-GB"/>
        </w:rPr>
        <w:t>which includes</w:t>
      </w:r>
      <w:r w:rsidR="0087137B" w:rsidRPr="00B63292">
        <w:rPr>
          <w:rFonts w:eastAsia="Times New Roman"/>
          <w:szCs w:val="24"/>
          <w:lang w:eastAsia="en-GB"/>
        </w:rPr>
        <w:t xml:space="preserve"> the automotive sector</w:t>
      </w:r>
      <w:r w:rsidR="007C5382" w:rsidRPr="00B63292">
        <w:rPr>
          <w:rFonts w:eastAsia="Times New Roman"/>
          <w:szCs w:val="24"/>
          <w:lang w:eastAsia="en-GB"/>
        </w:rPr>
        <w:t>;</w:t>
      </w:r>
      <w:r w:rsidR="00765297" w:rsidRPr="00B63292">
        <w:rPr>
          <w:rFonts w:eastAsia="Times New Roman"/>
          <w:szCs w:val="24"/>
          <w:lang w:eastAsia="en-GB"/>
        </w:rPr>
        <w:t xml:space="preserve"> </w:t>
      </w:r>
      <w:r w:rsidR="00EE155E" w:rsidRPr="00B63292">
        <w:rPr>
          <w:rFonts w:eastAsia="Times New Roman"/>
          <w:szCs w:val="24"/>
          <w:lang w:eastAsia="en-GB"/>
        </w:rPr>
        <w:t>electrical machinery, apparatus and energy (+5.5%)</w:t>
      </w:r>
      <w:r w:rsidR="001C57D4" w:rsidRPr="00B63292">
        <w:rPr>
          <w:rFonts w:eastAsia="Times New Roman"/>
          <w:szCs w:val="24"/>
          <w:lang w:eastAsia="en-GB"/>
        </w:rPr>
        <w:t>,</w:t>
      </w:r>
      <w:r w:rsidR="00EE155E" w:rsidRPr="00B63292">
        <w:rPr>
          <w:rFonts w:eastAsia="Times New Roman"/>
          <w:szCs w:val="24"/>
          <w:lang w:eastAsia="en-GB"/>
        </w:rPr>
        <w:t xml:space="preserve"> </w:t>
      </w:r>
      <w:r w:rsidR="00765297" w:rsidRPr="00B63292">
        <w:rPr>
          <w:rFonts w:eastAsia="Times New Roman"/>
          <w:szCs w:val="24"/>
          <w:lang w:eastAsia="en-GB"/>
        </w:rPr>
        <w:t xml:space="preserve">where </w:t>
      </w:r>
      <w:r w:rsidR="00A5636A" w:rsidRPr="00B63292">
        <w:rPr>
          <w:rFonts w:eastAsia="Times New Roman"/>
          <w:szCs w:val="24"/>
          <w:lang w:eastAsia="en-GB"/>
        </w:rPr>
        <w:t xml:space="preserve">many </w:t>
      </w:r>
      <w:r w:rsidR="0087137B" w:rsidRPr="00B63292">
        <w:rPr>
          <w:rFonts w:eastAsia="Times New Roman"/>
          <w:szCs w:val="24"/>
          <w:lang w:eastAsia="en-GB"/>
        </w:rPr>
        <w:t>inventions for</w:t>
      </w:r>
      <w:r w:rsidR="00765297" w:rsidRPr="00B63292">
        <w:rPr>
          <w:rFonts w:eastAsia="Times New Roman"/>
          <w:szCs w:val="24"/>
          <w:lang w:eastAsia="en-GB"/>
        </w:rPr>
        <w:t xml:space="preserve"> </w:t>
      </w:r>
      <w:r w:rsidR="00390C37" w:rsidRPr="00B63292">
        <w:rPr>
          <w:rFonts w:eastAsia="Times New Roman"/>
          <w:szCs w:val="24"/>
          <w:lang w:eastAsia="en-GB"/>
        </w:rPr>
        <w:t xml:space="preserve">clean </w:t>
      </w:r>
      <w:r w:rsidR="00765297" w:rsidRPr="00B63292">
        <w:rPr>
          <w:rFonts w:eastAsia="Times New Roman"/>
          <w:szCs w:val="24"/>
          <w:lang w:eastAsia="en-GB"/>
        </w:rPr>
        <w:t>energy technologies are filed</w:t>
      </w:r>
      <w:r w:rsidR="00C75BA2" w:rsidRPr="00B63292">
        <w:rPr>
          <w:rFonts w:eastAsia="Times New Roman"/>
          <w:szCs w:val="24"/>
          <w:lang w:eastAsia="en-GB"/>
        </w:rPr>
        <w:t>;</w:t>
      </w:r>
      <w:r w:rsidR="00765297" w:rsidRPr="00B63292">
        <w:rPr>
          <w:rFonts w:eastAsia="Times New Roman"/>
          <w:szCs w:val="24"/>
          <w:lang w:eastAsia="en-GB"/>
        </w:rPr>
        <w:t xml:space="preserve"> </w:t>
      </w:r>
      <w:r w:rsidR="00EE155E" w:rsidRPr="00B63292">
        <w:rPr>
          <w:rFonts w:eastAsia="Times New Roman"/>
          <w:szCs w:val="24"/>
          <w:lang w:eastAsia="en-GB"/>
        </w:rPr>
        <w:t xml:space="preserve">and pharmaceuticals (+4.4%). </w:t>
      </w:r>
      <w:r w:rsidR="00CE27C1" w:rsidRPr="00B63292">
        <w:rPr>
          <w:rFonts w:eastAsia="Times New Roman"/>
          <w:szCs w:val="24"/>
          <w:lang w:eastAsia="en-GB"/>
        </w:rPr>
        <w:t>Europe</w:t>
      </w:r>
      <w:r w:rsidR="006E159A" w:rsidRPr="00B63292">
        <w:rPr>
          <w:rFonts w:eastAsia="Times New Roman"/>
          <w:szCs w:val="24"/>
          <w:lang w:eastAsia="en-GB"/>
        </w:rPr>
        <w:t xml:space="preserve">an companies </w:t>
      </w:r>
      <w:r w:rsidR="00CE27C1" w:rsidRPr="00B63292">
        <w:rPr>
          <w:rFonts w:eastAsia="Times New Roman"/>
          <w:szCs w:val="24"/>
          <w:lang w:eastAsia="en-GB"/>
        </w:rPr>
        <w:t>h</w:t>
      </w:r>
      <w:r w:rsidR="00765297" w:rsidRPr="00B63292">
        <w:rPr>
          <w:rFonts w:eastAsia="Times New Roman"/>
          <w:szCs w:val="24"/>
          <w:lang w:eastAsia="en-GB"/>
        </w:rPr>
        <w:t>eld</w:t>
      </w:r>
      <w:r w:rsidR="00CE27C1" w:rsidRPr="00B63292">
        <w:rPr>
          <w:rFonts w:eastAsia="Times New Roman"/>
          <w:szCs w:val="24"/>
          <w:lang w:eastAsia="en-GB"/>
        </w:rPr>
        <w:t xml:space="preserve"> the </w:t>
      </w:r>
      <w:r w:rsidR="00765297" w:rsidRPr="00B63292">
        <w:rPr>
          <w:rFonts w:eastAsia="Times New Roman"/>
          <w:szCs w:val="24"/>
          <w:lang w:eastAsia="en-GB"/>
        </w:rPr>
        <w:t>largest</w:t>
      </w:r>
      <w:r w:rsidR="00CE27C1" w:rsidRPr="00B63292">
        <w:rPr>
          <w:rFonts w:eastAsia="Times New Roman"/>
          <w:szCs w:val="24"/>
          <w:lang w:eastAsia="en-GB"/>
        </w:rPr>
        <w:t xml:space="preserve"> share of </w:t>
      </w:r>
      <w:r w:rsidR="006E159A" w:rsidRPr="00B63292">
        <w:rPr>
          <w:rFonts w:eastAsia="Times New Roman"/>
          <w:szCs w:val="24"/>
          <w:lang w:eastAsia="en-GB"/>
        </w:rPr>
        <w:t xml:space="preserve">patent </w:t>
      </w:r>
      <w:r w:rsidR="00CE27C1" w:rsidRPr="00B63292">
        <w:rPr>
          <w:rFonts w:eastAsia="Times New Roman"/>
          <w:szCs w:val="24"/>
          <w:lang w:eastAsia="en-GB"/>
        </w:rPr>
        <w:lastRenderedPageBreak/>
        <w:t>application</w:t>
      </w:r>
      <w:r w:rsidR="00765297" w:rsidRPr="00B63292">
        <w:rPr>
          <w:rFonts w:eastAsia="Times New Roman"/>
          <w:szCs w:val="24"/>
          <w:lang w:eastAsia="en-GB"/>
        </w:rPr>
        <w:t>s</w:t>
      </w:r>
      <w:r w:rsidR="00C7442C" w:rsidRPr="00B63292">
        <w:rPr>
          <w:rFonts w:eastAsia="Times New Roman"/>
          <w:szCs w:val="24"/>
          <w:lang w:eastAsia="en-GB"/>
        </w:rPr>
        <w:t xml:space="preserve"> </w:t>
      </w:r>
      <w:r w:rsidR="006E159A" w:rsidRPr="00B63292">
        <w:rPr>
          <w:rFonts w:eastAsia="Times New Roman"/>
          <w:szCs w:val="24"/>
          <w:lang w:eastAsia="en-GB"/>
        </w:rPr>
        <w:t xml:space="preserve">in </w:t>
      </w:r>
      <w:r w:rsidRPr="00B63292">
        <w:rPr>
          <w:rFonts w:eastAsia="Times New Roman"/>
          <w:szCs w:val="24"/>
          <w:lang w:eastAsia="en-GB"/>
        </w:rPr>
        <w:t>t</w:t>
      </w:r>
      <w:r w:rsidR="00EE155E" w:rsidRPr="00B63292">
        <w:rPr>
          <w:rFonts w:eastAsia="Times New Roman"/>
          <w:szCs w:val="24"/>
          <w:lang w:eastAsia="en-GB"/>
        </w:rPr>
        <w:t>ransport</w:t>
      </w:r>
      <w:r w:rsidR="0087137B" w:rsidRPr="00B63292">
        <w:rPr>
          <w:rFonts w:eastAsia="Times New Roman"/>
          <w:szCs w:val="24"/>
          <w:lang w:eastAsia="en-GB"/>
        </w:rPr>
        <w:t xml:space="preserve">, </w:t>
      </w:r>
      <w:r w:rsidR="0069613B" w:rsidRPr="00B63292">
        <w:rPr>
          <w:rFonts w:eastAsia="Times New Roman"/>
          <w:szCs w:val="24"/>
          <w:lang w:eastAsia="en-GB"/>
        </w:rPr>
        <w:t xml:space="preserve">measurement, </w:t>
      </w:r>
      <w:r w:rsidR="0087137B" w:rsidRPr="00B63292">
        <w:rPr>
          <w:rFonts w:eastAsia="Times New Roman"/>
          <w:szCs w:val="24"/>
          <w:lang w:eastAsia="en-GB"/>
        </w:rPr>
        <w:t xml:space="preserve">organic fine chemistry and </w:t>
      </w:r>
      <w:r w:rsidR="00EE155E" w:rsidRPr="00B63292">
        <w:rPr>
          <w:rFonts w:eastAsia="Times New Roman"/>
          <w:szCs w:val="24"/>
          <w:lang w:eastAsia="en-GB"/>
        </w:rPr>
        <w:t xml:space="preserve">“other special machines” </w:t>
      </w:r>
      <w:r w:rsidRPr="00B63292">
        <w:rPr>
          <w:rFonts w:eastAsia="Times New Roman"/>
          <w:szCs w:val="24"/>
          <w:lang w:eastAsia="en-GB"/>
        </w:rPr>
        <w:t>– an</w:t>
      </w:r>
      <w:r w:rsidR="00EE155E" w:rsidRPr="00B63292">
        <w:rPr>
          <w:rFonts w:eastAsia="Times New Roman"/>
          <w:szCs w:val="24"/>
          <w:lang w:eastAsia="en-GB"/>
        </w:rPr>
        <w:t xml:space="preserve"> area covering a range of </w:t>
      </w:r>
      <w:r w:rsidR="00196ACA" w:rsidRPr="00B63292">
        <w:rPr>
          <w:rFonts w:eastAsia="Times New Roman"/>
          <w:szCs w:val="24"/>
          <w:lang w:eastAsia="en-GB"/>
        </w:rPr>
        <w:t>technologies</w:t>
      </w:r>
      <w:r w:rsidR="00E629D5" w:rsidRPr="00B63292">
        <w:rPr>
          <w:rFonts w:eastAsia="Times New Roman"/>
          <w:szCs w:val="24"/>
          <w:lang w:eastAsia="en-GB"/>
        </w:rPr>
        <w:t xml:space="preserve"> </w:t>
      </w:r>
      <w:r w:rsidR="00EE155E" w:rsidRPr="00B63292">
        <w:rPr>
          <w:rFonts w:eastAsia="Times New Roman"/>
          <w:szCs w:val="24"/>
          <w:lang w:eastAsia="en-GB"/>
        </w:rPr>
        <w:t>including machine tools</w:t>
      </w:r>
      <w:r w:rsidR="0087137B" w:rsidRPr="00B63292">
        <w:rPr>
          <w:rFonts w:eastAsia="Times New Roman"/>
          <w:szCs w:val="24"/>
          <w:lang w:eastAsia="en-GB"/>
        </w:rPr>
        <w:t xml:space="preserve"> for various industries</w:t>
      </w:r>
      <w:r w:rsidR="00EE155E" w:rsidRPr="00B63292">
        <w:rPr>
          <w:rFonts w:eastAsia="Times New Roman"/>
          <w:szCs w:val="24"/>
          <w:lang w:eastAsia="en-GB"/>
        </w:rPr>
        <w:t xml:space="preserve"> and </w:t>
      </w:r>
      <w:r w:rsidR="000F3839" w:rsidRPr="00B63292">
        <w:rPr>
          <w:rFonts w:eastAsia="Times New Roman"/>
          <w:szCs w:val="24"/>
          <w:lang w:eastAsia="en-GB"/>
        </w:rPr>
        <w:t>3D printing.</w:t>
      </w:r>
      <w:r w:rsidR="0087137B" w:rsidRPr="00B63292">
        <w:rPr>
          <w:rFonts w:eastAsia="Times New Roman"/>
          <w:szCs w:val="24"/>
          <w:lang w:eastAsia="en-GB"/>
        </w:rPr>
        <w:t xml:space="preserve"> </w:t>
      </w:r>
    </w:p>
    <w:p w14:paraId="6BD21022" w14:textId="212556CF" w:rsidR="00327629" w:rsidRPr="00BD6DE4" w:rsidRDefault="00327629" w:rsidP="00327629">
      <w:pPr>
        <w:spacing w:before="100" w:beforeAutospacing="1" w:after="100" w:afterAutospacing="1"/>
        <w:outlineLvl w:val="2"/>
        <w:rPr>
          <w:rFonts w:eastAsia="Times New Roman"/>
          <w:b/>
          <w:bCs/>
          <w:sz w:val="27"/>
          <w:szCs w:val="27"/>
          <w:lang w:eastAsia="en-GB"/>
        </w:rPr>
      </w:pPr>
      <w:r w:rsidRPr="00BD6DE4">
        <w:rPr>
          <w:rFonts w:eastAsia="Times New Roman"/>
          <w:b/>
          <w:bCs/>
          <w:sz w:val="27"/>
          <w:szCs w:val="27"/>
          <w:lang w:eastAsia="en-GB"/>
        </w:rPr>
        <w:t xml:space="preserve">Growth </w:t>
      </w:r>
      <w:r w:rsidR="00392A09" w:rsidRPr="00BD6DE4">
        <w:rPr>
          <w:rFonts w:eastAsia="Times New Roman"/>
          <w:b/>
          <w:bCs/>
          <w:sz w:val="27"/>
          <w:szCs w:val="27"/>
          <w:lang w:eastAsia="en-GB"/>
        </w:rPr>
        <w:t xml:space="preserve">from nearly </w:t>
      </w:r>
      <w:r w:rsidR="009605D9" w:rsidRPr="00BD6DE4">
        <w:rPr>
          <w:rFonts w:eastAsia="Times New Roman"/>
          <w:b/>
          <w:bCs/>
          <w:sz w:val="27"/>
          <w:szCs w:val="27"/>
          <w:lang w:eastAsia="en-GB"/>
        </w:rPr>
        <w:t>every region</w:t>
      </w:r>
      <w:r w:rsidR="00116554" w:rsidRPr="00BD6DE4">
        <w:rPr>
          <w:rFonts w:eastAsia="Times New Roman"/>
          <w:b/>
          <w:bCs/>
          <w:sz w:val="27"/>
          <w:szCs w:val="27"/>
          <w:lang w:eastAsia="en-GB"/>
        </w:rPr>
        <w:t>,</w:t>
      </w:r>
      <w:r w:rsidR="00F63029" w:rsidRPr="00BD6DE4">
        <w:rPr>
          <w:rFonts w:eastAsia="Times New Roman"/>
          <w:b/>
          <w:bCs/>
          <w:sz w:val="27"/>
          <w:szCs w:val="27"/>
          <w:lang w:eastAsia="en-GB"/>
        </w:rPr>
        <w:t xml:space="preserve"> </w:t>
      </w:r>
      <w:r w:rsidR="00B4513C" w:rsidRPr="00BD6DE4">
        <w:rPr>
          <w:rFonts w:eastAsia="Times New Roman"/>
          <w:b/>
          <w:bCs/>
          <w:sz w:val="27"/>
          <w:szCs w:val="27"/>
          <w:lang w:eastAsia="en-GB"/>
        </w:rPr>
        <w:t>surge</w:t>
      </w:r>
      <w:r w:rsidR="00392A09" w:rsidRPr="00BD6DE4">
        <w:rPr>
          <w:rFonts w:eastAsia="Times New Roman"/>
          <w:b/>
          <w:bCs/>
          <w:sz w:val="27"/>
          <w:szCs w:val="27"/>
          <w:lang w:eastAsia="en-GB"/>
        </w:rPr>
        <w:t xml:space="preserve"> from </w:t>
      </w:r>
      <w:r w:rsidR="00E160AB" w:rsidRPr="00BD6DE4">
        <w:rPr>
          <w:rFonts w:eastAsia="Times New Roman"/>
          <w:b/>
          <w:bCs/>
          <w:sz w:val="27"/>
          <w:szCs w:val="27"/>
          <w:lang w:eastAsia="en-GB"/>
        </w:rPr>
        <w:t>China</w:t>
      </w:r>
    </w:p>
    <w:p w14:paraId="201B7679" w14:textId="21EE6B8F" w:rsidR="00C75BA2" w:rsidRPr="008A6C3B" w:rsidRDefault="00054A6D" w:rsidP="00C02740">
      <w:pPr>
        <w:pStyle w:val="CommentText"/>
        <w:rPr>
          <w:rFonts w:eastAsia="Times New Roman"/>
          <w:szCs w:val="24"/>
          <w:lang w:eastAsia="en-GB"/>
        </w:rPr>
      </w:pPr>
      <w:r>
        <w:rPr>
          <w:sz w:val="24"/>
          <w:szCs w:val="24"/>
          <w:shd w:val="clear" w:color="auto" w:fill="FFFFFF"/>
        </w:rPr>
        <w:t>The technology trends were also reflected in the country data</w:t>
      </w:r>
      <w:r w:rsidR="00C3065B">
        <w:rPr>
          <w:sz w:val="24"/>
          <w:szCs w:val="24"/>
          <w:shd w:val="clear" w:color="auto" w:fill="FFFFFF"/>
        </w:rPr>
        <w:t xml:space="preserve">. </w:t>
      </w:r>
      <w:r w:rsidR="00AD0781" w:rsidRPr="008A6C3B">
        <w:rPr>
          <w:sz w:val="24"/>
          <w:szCs w:val="24"/>
          <w:shd w:val="clear" w:color="auto" w:fill="FFFFFF"/>
        </w:rPr>
        <w:t xml:space="preserve">The top five countries of origin </w:t>
      </w:r>
      <w:r w:rsidR="00C3065B">
        <w:rPr>
          <w:sz w:val="24"/>
          <w:szCs w:val="24"/>
          <w:shd w:val="clear" w:color="auto" w:fill="FFFFFF"/>
        </w:rPr>
        <w:t xml:space="preserve">for applications </w:t>
      </w:r>
      <w:r w:rsidR="005360F2">
        <w:rPr>
          <w:sz w:val="24"/>
          <w:szCs w:val="24"/>
          <w:shd w:val="clear" w:color="auto" w:fill="FFFFFF"/>
        </w:rPr>
        <w:t>in 2019 were</w:t>
      </w:r>
      <w:r w:rsidR="00AD0781" w:rsidRPr="008A6C3B">
        <w:rPr>
          <w:sz w:val="24"/>
          <w:szCs w:val="24"/>
          <w:shd w:val="clear" w:color="auto" w:fill="FFFFFF"/>
        </w:rPr>
        <w:t xml:space="preserve"> the US, accounting for 25% of total filings, followed by Germany</w:t>
      </w:r>
      <w:r w:rsidR="006E159A">
        <w:rPr>
          <w:sz w:val="24"/>
          <w:szCs w:val="24"/>
          <w:shd w:val="clear" w:color="auto" w:fill="FFFFFF"/>
        </w:rPr>
        <w:t xml:space="preserve"> (</w:t>
      </w:r>
      <w:r w:rsidR="007C5382">
        <w:rPr>
          <w:sz w:val="24"/>
          <w:szCs w:val="24"/>
          <w:shd w:val="clear" w:color="auto" w:fill="FFFFFF"/>
        </w:rPr>
        <w:t>15</w:t>
      </w:r>
      <w:r w:rsidR="006E159A">
        <w:rPr>
          <w:sz w:val="24"/>
          <w:szCs w:val="24"/>
          <w:shd w:val="clear" w:color="auto" w:fill="FFFFFF"/>
        </w:rPr>
        <w:t>%)</w:t>
      </w:r>
      <w:r w:rsidR="00AD0781" w:rsidRPr="008A6C3B">
        <w:rPr>
          <w:sz w:val="24"/>
          <w:szCs w:val="24"/>
          <w:shd w:val="clear" w:color="auto" w:fill="FFFFFF"/>
        </w:rPr>
        <w:t>, Japan</w:t>
      </w:r>
      <w:r w:rsidR="006E159A">
        <w:rPr>
          <w:sz w:val="24"/>
          <w:szCs w:val="24"/>
          <w:shd w:val="clear" w:color="auto" w:fill="FFFFFF"/>
        </w:rPr>
        <w:t xml:space="preserve"> (</w:t>
      </w:r>
      <w:r w:rsidR="007C5382">
        <w:rPr>
          <w:sz w:val="24"/>
          <w:szCs w:val="24"/>
          <w:shd w:val="clear" w:color="auto" w:fill="FFFFFF"/>
        </w:rPr>
        <w:t>12%</w:t>
      </w:r>
      <w:r w:rsidR="006E159A">
        <w:rPr>
          <w:sz w:val="24"/>
          <w:szCs w:val="24"/>
          <w:shd w:val="clear" w:color="auto" w:fill="FFFFFF"/>
        </w:rPr>
        <w:t>)</w:t>
      </w:r>
      <w:r w:rsidR="00AD0781" w:rsidRPr="008A6C3B">
        <w:rPr>
          <w:sz w:val="24"/>
          <w:szCs w:val="24"/>
          <w:shd w:val="clear" w:color="auto" w:fill="FFFFFF"/>
        </w:rPr>
        <w:t>, China</w:t>
      </w:r>
      <w:r w:rsidR="006E159A">
        <w:rPr>
          <w:sz w:val="24"/>
          <w:szCs w:val="24"/>
          <w:shd w:val="clear" w:color="auto" w:fill="FFFFFF"/>
        </w:rPr>
        <w:t xml:space="preserve"> (</w:t>
      </w:r>
      <w:r w:rsidR="007C5382">
        <w:rPr>
          <w:sz w:val="24"/>
          <w:szCs w:val="24"/>
          <w:shd w:val="clear" w:color="auto" w:fill="FFFFFF"/>
        </w:rPr>
        <w:t>7%</w:t>
      </w:r>
      <w:r w:rsidR="006E159A">
        <w:rPr>
          <w:sz w:val="24"/>
          <w:szCs w:val="24"/>
          <w:shd w:val="clear" w:color="auto" w:fill="FFFFFF"/>
        </w:rPr>
        <w:t>)</w:t>
      </w:r>
      <w:r w:rsidR="00AD0781" w:rsidRPr="008A6C3B">
        <w:rPr>
          <w:sz w:val="24"/>
          <w:szCs w:val="24"/>
          <w:shd w:val="clear" w:color="auto" w:fill="FFFFFF"/>
        </w:rPr>
        <w:t xml:space="preserve"> and France</w:t>
      </w:r>
      <w:r w:rsidR="006E159A">
        <w:rPr>
          <w:sz w:val="24"/>
          <w:szCs w:val="24"/>
          <w:shd w:val="clear" w:color="auto" w:fill="FFFFFF"/>
        </w:rPr>
        <w:t xml:space="preserve"> (</w:t>
      </w:r>
      <w:r w:rsidR="007C5382">
        <w:rPr>
          <w:sz w:val="24"/>
          <w:szCs w:val="24"/>
          <w:shd w:val="clear" w:color="auto" w:fill="FFFFFF"/>
        </w:rPr>
        <w:t>6%</w:t>
      </w:r>
      <w:r w:rsidR="006E159A">
        <w:rPr>
          <w:sz w:val="24"/>
          <w:szCs w:val="24"/>
          <w:shd w:val="clear" w:color="auto" w:fill="FFFFFF"/>
        </w:rPr>
        <w:t>)</w:t>
      </w:r>
      <w:r w:rsidR="007B56FA">
        <w:rPr>
          <w:sz w:val="24"/>
          <w:szCs w:val="24"/>
        </w:rPr>
        <w:t xml:space="preserve"> </w:t>
      </w:r>
      <w:r w:rsidRPr="008A6C3B">
        <w:rPr>
          <w:rFonts w:eastAsia="Times New Roman"/>
          <w:sz w:val="24"/>
          <w:szCs w:val="24"/>
          <w:lang w:eastAsia="en-GB"/>
        </w:rPr>
        <w:t>(Fig</w:t>
      </w:r>
      <w:r w:rsidRPr="00B63292">
        <w:rPr>
          <w:rFonts w:eastAsia="Times New Roman"/>
          <w:i/>
          <w:sz w:val="24"/>
          <w:szCs w:val="24"/>
          <w:lang w:eastAsia="en-GB"/>
        </w:rPr>
        <w:t xml:space="preserve">.: </w:t>
      </w:r>
      <w:hyperlink r:id="rId14" w:history="1">
        <w:r w:rsidRPr="00B63292">
          <w:rPr>
            <w:rStyle w:val="Hyperlink"/>
            <w:i/>
            <w:sz w:val="24"/>
            <w:szCs w:val="24"/>
          </w:rPr>
          <w:t>Origin of applications</w:t>
        </w:r>
      </w:hyperlink>
      <w:r w:rsidR="00B63292">
        <w:rPr>
          <w:i/>
          <w:sz w:val="24"/>
          <w:szCs w:val="24"/>
        </w:rPr>
        <w:t>).</w:t>
      </w:r>
      <w:r w:rsidRPr="008A6C3B">
        <w:rPr>
          <w:rFonts w:eastAsia="Times New Roman"/>
          <w:sz w:val="24"/>
          <w:szCs w:val="24"/>
          <w:lang w:eastAsia="en-GB"/>
        </w:rPr>
        <w:t xml:space="preserve"> </w:t>
      </w:r>
      <w:r w:rsidR="00765297" w:rsidRPr="008A6C3B">
        <w:rPr>
          <w:rFonts w:eastAsia="Times New Roman"/>
          <w:sz w:val="24"/>
          <w:szCs w:val="24"/>
          <w:lang w:eastAsia="en-GB"/>
        </w:rPr>
        <w:t xml:space="preserve">The </w:t>
      </w:r>
      <w:r w:rsidR="006E159A" w:rsidRPr="008A6C3B">
        <w:rPr>
          <w:rFonts w:eastAsia="Times New Roman"/>
          <w:sz w:val="24"/>
          <w:szCs w:val="24"/>
          <w:lang w:eastAsia="en-GB"/>
        </w:rPr>
        <w:t xml:space="preserve"> </w:t>
      </w:r>
      <w:r w:rsidR="00765297" w:rsidRPr="008A6C3B">
        <w:rPr>
          <w:rFonts w:eastAsia="Times New Roman"/>
          <w:sz w:val="24"/>
          <w:szCs w:val="24"/>
          <w:lang w:eastAsia="en-GB"/>
        </w:rPr>
        <w:t xml:space="preserve">increase </w:t>
      </w:r>
      <w:r w:rsidR="004E2441" w:rsidRPr="008A6C3B">
        <w:rPr>
          <w:sz w:val="24"/>
          <w:szCs w:val="24"/>
        </w:rPr>
        <w:t>in applications</w:t>
      </w:r>
      <w:r w:rsidR="001860AD" w:rsidRPr="008A6C3B">
        <w:rPr>
          <w:sz w:val="24"/>
          <w:szCs w:val="24"/>
        </w:rPr>
        <w:t xml:space="preserve"> at the EPO</w:t>
      </w:r>
      <w:r w:rsidR="004E2441" w:rsidRPr="008A6C3B">
        <w:rPr>
          <w:sz w:val="24"/>
          <w:szCs w:val="24"/>
        </w:rPr>
        <w:t xml:space="preserve"> </w:t>
      </w:r>
      <w:r w:rsidR="00975218" w:rsidRPr="008A6C3B">
        <w:rPr>
          <w:sz w:val="24"/>
          <w:szCs w:val="24"/>
        </w:rPr>
        <w:t>in 2019</w:t>
      </w:r>
      <w:r w:rsidR="004E2441" w:rsidRPr="008A6C3B">
        <w:rPr>
          <w:sz w:val="24"/>
          <w:szCs w:val="24"/>
        </w:rPr>
        <w:t xml:space="preserve"> was mainly </w:t>
      </w:r>
      <w:r w:rsidR="005360F2">
        <w:rPr>
          <w:sz w:val="24"/>
          <w:szCs w:val="24"/>
        </w:rPr>
        <w:t xml:space="preserve">fuelled </w:t>
      </w:r>
      <w:r>
        <w:rPr>
          <w:sz w:val="24"/>
          <w:szCs w:val="24"/>
        </w:rPr>
        <w:t xml:space="preserve">by the </w:t>
      </w:r>
      <w:r w:rsidR="006E159A">
        <w:rPr>
          <w:sz w:val="24"/>
          <w:szCs w:val="24"/>
        </w:rPr>
        <w:t>strong</w:t>
      </w:r>
      <w:r w:rsidR="004E2441" w:rsidRPr="008A6C3B">
        <w:rPr>
          <w:sz w:val="24"/>
          <w:szCs w:val="24"/>
        </w:rPr>
        <w:t xml:space="preserve"> </w:t>
      </w:r>
      <w:r w:rsidR="005360F2">
        <w:rPr>
          <w:sz w:val="24"/>
          <w:szCs w:val="24"/>
        </w:rPr>
        <w:t>increase in filing volumes</w:t>
      </w:r>
      <w:r w:rsidR="005360F2" w:rsidRPr="008A6C3B">
        <w:rPr>
          <w:sz w:val="24"/>
          <w:szCs w:val="24"/>
        </w:rPr>
        <w:t xml:space="preserve"> </w:t>
      </w:r>
      <w:r w:rsidR="004E2441" w:rsidRPr="008A6C3B">
        <w:rPr>
          <w:sz w:val="24"/>
          <w:szCs w:val="24"/>
        </w:rPr>
        <w:t>from China (+29.2%</w:t>
      </w:r>
      <w:r w:rsidR="005360F2">
        <w:rPr>
          <w:sz w:val="24"/>
          <w:szCs w:val="24"/>
        </w:rPr>
        <w:t xml:space="preserve"> over 2018</w:t>
      </w:r>
      <w:r w:rsidR="004E2441" w:rsidRPr="008A6C3B">
        <w:rPr>
          <w:sz w:val="24"/>
          <w:szCs w:val="24"/>
        </w:rPr>
        <w:t>), the US (+5.5%) and South Korea (+14.1%)</w:t>
      </w:r>
      <w:r w:rsidR="006E159A">
        <w:rPr>
          <w:sz w:val="24"/>
          <w:szCs w:val="24"/>
        </w:rPr>
        <w:t xml:space="preserve"> </w:t>
      </w:r>
      <w:r w:rsidR="007C5382" w:rsidRPr="008A6C3B">
        <w:rPr>
          <w:rFonts w:eastAsia="Times New Roman"/>
          <w:sz w:val="24"/>
          <w:szCs w:val="24"/>
          <w:lang w:eastAsia="en-GB"/>
        </w:rPr>
        <w:t xml:space="preserve">(Fig.: </w:t>
      </w:r>
      <w:hyperlink r:id="rId15" w:history="1">
        <w:r w:rsidR="007C5382" w:rsidRPr="00B63292">
          <w:rPr>
            <w:rStyle w:val="Hyperlink"/>
            <w:i/>
            <w:sz w:val="24"/>
            <w:szCs w:val="24"/>
          </w:rPr>
          <w:t>Top 50 countries for applications</w:t>
        </w:r>
      </w:hyperlink>
      <w:r w:rsidR="007C5382" w:rsidRPr="008A6C3B">
        <w:rPr>
          <w:rFonts w:eastAsia="Times New Roman"/>
          <w:sz w:val="24"/>
          <w:szCs w:val="24"/>
          <w:lang w:eastAsia="en-GB"/>
        </w:rPr>
        <w:t>).</w:t>
      </w:r>
      <w:r w:rsidR="004E2441" w:rsidRPr="008A6C3B">
        <w:rPr>
          <w:rFonts w:eastAsia="Times New Roman"/>
          <w:sz w:val="24"/>
          <w:szCs w:val="24"/>
          <w:lang w:eastAsia="en-GB"/>
        </w:rPr>
        <w:t xml:space="preserve"> </w:t>
      </w:r>
      <w:bookmarkStart w:id="12" w:name="_Hlk33469828"/>
      <w:r w:rsidR="005360F2">
        <w:rPr>
          <w:rFonts w:eastAsia="Times New Roman"/>
          <w:sz w:val="24"/>
          <w:szCs w:val="24"/>
          <w:lang w:eastAsia="en-GB"/>
        </w:rPr>
        <w:t xml:space="preserve">In the past decade, </w:t>
      </w:r>
      <w:r w:rsidR="00E629D5">
        <w:rPr>
          <w:rFonts w:eastAsia="Times New Roman"/>
          <w:sz w:val="24"/>
          <w:szCs w:val="24"/>
          <w:lang w:eastAsia="en-GB"/>
        </w:rPr>
        <w:t>patent filings</w:t>
      </w:r>
      <w:r w:rsidR="00D3624C" w:rsidRPr="008A6C3B">
        <w:rPr>
          <w:rFonts w:eastAsia="Times New Roman"/>
          <w:sz w:val="24"/>
          <w:szCs w:val="24"/>
          <w:lang w:eastAsia="en-GB"/>
        </w:rPr>
        <w:t xml:space="preserve"> </w:t>
      </w:r>
      <w:r w:rsidR="00D3624C">
        <w:rPr>
          <w:rFonts w:eastAsia="Times New Roman"/>
          <w:sz w:val="24"/>
          <w:szCs w:val="24"/>
          <w:lang w:eastAsia="en-GB"/>
        </w:rPr>
        <w:t xml:space="preserve">from China </w:t>
      </w:r>
      <w:r w:rsidR="00E629D5">
        <w:rPr>
          <w:rFonts w:eastAsia="Times New Roman"/>
          <w:sz w:val="24"/>
          <w:szCs w:val="24"/>
          <w:lang w:eastAsia="en-GB"/>
        </w:rPr>
        <w:t xml:space="preserve">with the EPO </w:t>
      </w:r>
      <w:r w:rsidR="007C5382">
        <w:rPr>
          <w:rFonts w:eastAsia="Times New Roman"/>
          <w:sz w:val="24"/>
          <w:szCs w:val="24"/>
          <w:lang w:eastAsia="en-GB"/>
        </w:rPr>
        <w:t xml:space="preserve">have </w:t>
      </w:r>
      <w:r w:rsidR="00424151">
        <w:rPr>
          <w:rFonts w:eastAsia="Times New Roman"/>
          <w:sz w:val="24"/>
          <w:szCs w:val="24"/>
          <w:lang w:eastAsia="en-GB"/>
        </w:rPr>
        <w:t xml:space="preserve">increased </w:t>
      </w:r>
      <w:r w:rsidR="000F5F2A">
        <w:rPr>
          <w:rFonts w:eastAsia="Times New Roman"/>
          <w:sz w:val="24"/>
          <w:szCs w:val="24"/>
          <w:lang w:eastAsia="en-GB"/>
        </w:rPr>
        <w:t xml:space="preserve">nearly </w:t>
      </w:r>
      <w:r w:rsidR="00856AEB">
        <w:rPr>
          <w:rFonts w:eastAsia="Times New Roman"/>
          <w:sz w:val="24"/>
          <w:szCs w:val="24"/>
          <w:lang w:eastAsia="en-GB"/>
        </w:rPr>
        <w:t>six</w:t>
      </w:r>
      <w:r w:rsidR="00424151">
        <w:rPr>
          <w:rFonts w:eastAsia="Times New Roman"/>
          <w:sz w:val="24"/>
          <w:szCs w:val="24"/>
          <w:lang w:eastAsia="en-GB"/>
        </w:rPr>
        <w:t>fold</w:t>
      </w:r>
      <w:r w:rsidR="000F5F2A">
        <w:rPr>
          <w:rFonts w:eastAsia="Times New Roman"/>
          <w:sz w:val="24"/>
          <w:szCs w:val="24"/>
          <w:lang w:eastAsia="en-GB"/>
        </w:rPr>
        <w:t xml:space="preserve"> </w:t>
      </w:r>
      <w:r w:rsidR="00D70ADD" w:rsidRPr="008A6C3B">
        <w:rPr>
          <w:rFonts w:eastAsia="Times New Roman"/>
          <w:sz w:val="24"/>
          <w:szCs w:val="24"/>
          <w:lang w:eastAsia="en-GB"/>
        </w:rPr>
        <w:t>(</w:t>
      </w:r>
      <w:r w:rsidR="008A6C3B" w:rsidRPr="008A6C3B">
        <w:rPr>
          <w:sz w:val="24"/>
          <w:szCs w:val="24"/>
        </w:rPr>
        <w:t>12 247 applications in 2019 vs. 2 061 in 2010).</w:t>
      </w:r>
      <w:r w:rsidR="004E2441" w:rsidRPr="008A6C3B">
        <w:rPr>
          <w:rFonts w:eastAsia="Times New Roman"/>
          <w:sz w:val="24"/>
          <w:szCs w:val="24"/>
          <w:lang w:eastAsia="en-GB"/>
        </w:rPr>
        <w:t xml:space="preserve"> </w:t>
      </w:r>
      <w:bookmarkEnd w:id="12"/>
      <w:r w:rsidR="00E629D5">
        <w:rPr>
          <w:rFonts w:eastAsia="Times New Roman"/>
          <w:sz w:val="24"/>
          <w:szCs w:val="24"/>
          <w:lang w:eastAsia="en-GB"/>
        </w:rPr>
        <w:t>In 2019, t</w:t>
      </w:r>
      <w:r w:rsidR="00D3624C">
        <w:rPr>
          <w:rFonts w:eastAsia="Times New Roman"/>
          <w:sz w:val="24"/>
          <w:szCs w:val="24"/>
          <w:lang w:eastAsia="en-GB"/>
        </w:rPr>
        <w:t>he general</w:t>
      </w:r>
      <w:r w:rsidR="00C75BA2" w:rsidRPr="008A6C3B">
        <w:rPr>
          <w:rFonts w:eastAsia="Times New Roman"/>
          <w:sz w:val="24"/>
          <w:szCs w:val="24"/>
          <w:lang w:eastAsia="en-GB"/>
        </w:rPr>
        <w:t xml:space="preserve"> upward trend in filings continued from nearly every major industrial region, with only Japan experiencing a small drop (-2.3%) after two years of growth. </w:t>
      </w:r>
    </w:p>
    <w:p w14:paraId="6939EC08" w14:textId="0C40E7F2" w:rsidR="007E17D9" w:rsidRPr="00B63292" w:rsidRDefault="00E629D5" w:rsidP="007E17D9">
      <w:pPr>
        <w:spacing w:before="100" w:beforeAutospacing="1" w:after="100" w:afterAutospacing="1"/>
        <w:rPr>
          <w:i/>
          <w:szCs w:val="24"/>
        </w:rPr>
      </w:pPr>
      <w:r>
        <w:rPr>
          <w:bCs/>
          <w:szCs w:val="24"/>
        </w:rPr>
        <w:t>Patent a</w:t>
      </w:r>
      <w:r w:rsidR="003F4006">
        <w:rPr>
          <w:bCs/>
          <w:szCs w:val="24"/>
        </w:rPr>
        <w:t xml:space="preserve">pplications from </w:t>
      </w:r>
      <w:r w:rsidR="00457EBD">
        <w:rPr>
          <w:bCs/>
          <w:szCs w:val="24"/>
        </w:rPr>
        <w:t xml:space="preserve">the 38 </w:t>
      </w:r>
      <w:r w:rsidR="007E17D9" w:rsidRPr="004B58F8">
        <w:rPr>
          <w:bCs/>
          <w:szCs w:val="24"/>
        </w:rPr>
        <w:t xml:space="preserve">EPO </w:t>
      </w:r>
      <w:r w:rsidR="003F4006">
        <w:rPr>
          <w:bCs/>
          <w:szCs w:val="24"/>
        </w:rPr>
        <w:t>countries</w:t>
      </w:r>
      <w:r w:rsidR="007E17D9" w:rsidRPr="004B58F8">
        <w:rPr>
          <w:bCs/>
          <w:szCs w:val="24"/>
        </w:rPr>
        <w:t xml:space="preserve"> </w:t>
      </w:r>
      <w:r w:rsidR="003F4006">
        <w:rPr>
          <w:bCs/>
          <w:szCs w:val="24"/>
        </w:rPr>
        <w:t>grew</w:t>
      </w:r>
      <w:r w:rsidR="007C5382">
        <w:rPr>
          <w:bCs/>
          <w:szCs w:val="24"/>
        </w:rPr>
        <w:t xml:space="preserve"> modestly</w:t>
      </w:r>
      <w:r w:rsidR="003F4006">
        <w:rPr>
          <w:bCs/>
          <w:szCs w:val="24"/>
        </w:rPr>
        <w:t xml:space="preserve"> </w:t>
      </w:r>
      <w:r w:rsidR="000D146A">
        <w:rPr>
          <w:bCs/>
          <w:szCs w:val="24"/>
        </w:rPr>
        <w:t>(+</w:t>
      </w:r>
      <w:r w:rsidR="007E17D9" w:rsidRPr="009A329A">
        <w:rPr>
          <w:bCs/>
          <w:szCs w:val="24"/>
        </w:rPr>
        <w:t>1.</w:t>
      </w:r>
      <w:r w:rsidR="000D1265">
        <w:rPr>
          <w:bCs/>
          <w:szCs w:val="24"/>
        </w:rPr>
        <w:t>1</w:t>
      </w:r>
      <w:r w:rsidR="007E17D9" w:rsidRPr="009A329A">
        <w:rPr>
          <w:bCs/>
          <w:szCs w:val="24"/>
        </w:rPr>
        <w:t>%</w:t>
      </w:r>
      <w:r w:rsidR="000D146A">
        <w:rPr>
          <w:bCs/>
          <w:szCs w:val="24"/>
        </w:rPr>
        <w:t>)</w:t>
      </w:r>
      <w:r w:rsidR="007E17D9" w:rsidRPr="009A329A">
        <w:rPr>
          <w:bCs/>
          <w:szCs w:val="24"/>
        </w:rPr>
        <w:t xml:space="preserve"> </w:t>
      </w:r>
      <w:r w:rsidR="007E17D9" w:rsidRPr="004B58F8">
        <w:rPr>
          <w:bCs/>
          <w:szCs w:val="24"/>
        </w:rPr>
        <w:t>in 2019</w:t>
      </w:r>
      <w:r w:rsidR="00054A6D">
        <w:rPr>
          <w:bCs/>
          <w:szCs w:val="24"/>
        </w:rPr>
        <w:t xml:space="preserve">, the third year of </w:t>
      </w:r>
      <w:r w:rsidR="007B56FA">
        <w:rPr>
          <w:bCs/>
          <w:szCs w:val="24"/>
        </w:rPr>
        <w:t>increase</w:t>
      </w:r>
      <w:r w:rsidR="007E17D9" w:rsidRPr="00B63292">
        <w:rPr>
          <w:bCs/>
          <w:szCs w:val="24"/>
        </w:rPr>
        <w:t>.</w:t>
      </w:r>
      <w:r w:rsidR="00BC0341" w:rsidRPr="00B63292">
        <w:rPr>
          <w:szCs w:val="24"/>
        </w:rPr>
        <w:t xml:space="preserve"> </w:t>
      </w:r>
      <w:r w:rsidR="00457EBD" w:rsidRPr="00B63292">
        <w:rPr>
          <w:szCs w:val="24"/>
        </w:rPr>
        <w:t>In relative terms</w:t>
      </w:r>
      <w:r w:rsidR="00E07D26" w:rsidRPr="00B63292">
        <w:rPr>
          <w:szCs w:val="24"/>
        </w:rPr>
        <w:t>,</w:t>
      </w:r>
      <w:r w:rsidR="00FF5758" w:rsidRPr="00B63292">
        <w:rPr>
          <w:szCs w:val="24"/>
        </w:rPr>
        <w:t xml:space="preserve"> the share of patent applications from Europe continued to </w:t>
      </w:r>
      <w:r w:rsidR="00054A6D" w:rsidRPr="00B63292">
        <w:rPr>
          <w:szCs w:val="24"/>
        </w:rPr>
        <w:t>slide</w:t>
      </w:r>
      <w:r w:rsidR="00224895" w:rsidRPr="00B63292">
        <w:rPr>
          <w:szCs w:val="24"/>
        </w:rPr>
        <w:t>, however</w:t>
      </w:r>
      <w:r w:rsidR="00FF5758" w:rsidRPr="00B63292">
        <w:rPr>
          <w:szCs w:val="24"/>
        </w:rPr>
        <w:t xml:space="preserve">, </w:t>
      </w:r>
      <w:r w:rsidR="00054A6D" w:rsidRPr="00B63292">
        <w:rPr>
          <w:szCs w:val="24"/>
        </w:rPr>
        <w:t xml:space="preserve">falling </w:t>
      </w:r>
      <w:r w:rsidR="00FF5758" w:rsidRPr="00B63292">
        <w:rPr>
          <w:szCs w:val="24"/>
        </w:rPr>
        <w:t xml:space="preserve">from </w:t>
      </w:r>
      <w:r w:rsidR="00EB7005" w:rsidRPr="00B63292">
        <w:rPr>
          <w:szCs w:val="24"/>
        </w:rPr>
        <w:t>51</w:t>
      </w:r>
      <w:r w:rsidR="007E17D9" w:rsidRPr="00B63292">
        <w:rPr>
          <w:szCs w:val="24"/>
        </w:rPr>
        <w:t xml:space="preserve">% in </w:t>
      </w:r>
      <w:r w:rsidR="005F25E9" w:rsidRPr="00B63292">
        <w:rPr>
          <w:szCs w:val="24"/>
        </w:rPr>
        <w:t xml:space="preserve">2009 </w:t>
      </w:r>
      <w:r w:rsidR="007E17D9" w:rsidRPr="00B63292">
        <w:rPr>
          <w:szCs w:val="24"/>
        </w:rPr>
        <w:t xml:space="preserve">to </w:t>
      </w:r>
      <w:r w:rsidR="000D1265" w:rsidRPr="00B63292">
        <w:rPr>
          <w:szCs w:val="24"/>
        </w:rPr>
        <w:t>45</w:t>
      </w:r>
      <w:r w:rsidR="007E17D9" w:rsidRPr="00B63292">
        <w:rPr>
          <w:szCs w:val="24"/>
        </w:rPr>
        <w:t>% in 2019</w:t>
      </w:r>
      <w:r w:rsidR="00487457" w:rsidRPr="00B63292">
        <w:rPr>
          <w:szCs w:val="24"/>
        </w:rPr>
        <w:t>,</w:t>
      </w:r>
      <w:r w:rsidR="007E17D9" w:rsidRPr="00B63292">
        <w:rPr>
          <w:szCs w:val="24"/>
        </w:rPr>
        <w:t xml:space="preserve"> as more players from </w:t>
      </w:r>
      <w:r w:rsidR="00487457" w:rsidRPr="00B63292">
        <w:rPr>
          <w:szCs w:val="24"/>
        </w:rPr>
        <w:t xml:space="preserve">outside Europe, </w:t>
      </w:r>
      <w:r w:rsidR="00C75BA2" w:rsidRPr="00B63292">
        <w:rPr>
          <w:szCs w:val="24"/>
        </w:rPr>
        <w:t xml:space="preserve">and </w:t>
      </w:r>
      <w:r w:rsidR="00487457" w:rsidRPr="00B63292">
        <w:rPr>
          <w:szCs w:val="24"/>
        </w:rPr>
        <w:t>especially Asia,</w:t>
      </w:r>
      <w:r w:rsidR="007E17D9" w:rsidRPr="00B63292">
        <w:rPr>
          <w:szCs w:val="24"/>
        </w:rPr>
        <w:t xml:space="preserve"> </w:t>
      </w:r>
      <w:r w:rsidR="004E2441" w:rsidRPr="00B63292">
        <w:rPr>
          <w:szCs w:val="24"/>
        </w:rPr>
        <w:t>seek</w:t>
      </w:r>
      <w:r w:rsidR="00224895" w:rsidRPr="00B63292">
        <w:rPr>
          <w:szCs w:val="24"/>
        </w:rPr>
        <w:t xml:space="preserve"> to </w:t>
      </w:r>
      <w:r w:rsidR="00D231C3" w:rsidRPr="00B63292">
        <w:rPr>
          <w:szCs w:val="24"/>
        </w:rPr>
        <w:t xml:space="preserve">protect </w:t>
      </w:r>
      <w:r w:rsidR="007E17D9" w:rsidRPr="00B63292">
        <w:rPr>
          <w:szCs w:val="24"/>
        </w:rPr>
        <w:t xml:space="preserve">their inventions </w:t>
      </w:r>
      <w:r w:rsidR="00D231C3" w:rsidRPr="00B63292">
        <w:rPr>
          <w:szCs w:val="24"/>
        </w:rPr>
        <w:t xml:space="preserve">in </w:t>
      </w:r>
      <w:r w:rsidR="007E17D9" w:rsidRPr="00B63292">
        <w:rPr>
          <w:szCs w:val="24"/>
        </w:rPr>
        <w:t xml:space="preserve">the European market. </w:t>
      </w:r>
    </w:p>
    <w:p w14:paraId="0102FF9E" w14:textId="46978D11" w:rsidR="00327629" w:rsidRPr="00B63292" w:rsidRDefault="00224895" w:rsidP="00327629">
      <w:pPr>
        <w:spacing w:before="100" w:beforeAutospacing="1" w:after="100" w:afterAutospacing="1"/>
        <w:rPr>
          <w:rFonts w:eastAsia="Times New Roman"/>
          <w:szCs w:val="24"/>
          <w:lang w:eastAsia="en-GB"/>
        </w:rPr>
      </w:pPr>
      <w:r w:rsidRPr="00B63292">
        <w:rPr>
          <w:rFonts w:eastAsia="Times New Roman"/>
          <w:iCs/>
          <w:szCs w:val="24"/>
          <w:lang w:eastAsia="en-GB"/>
        </w:rPr>
        <w:t xml:space="preserve">Other countries </w:t>
      </w:r>
      <w:r w:rsidR="005360F2" w:rsidRPr="00B63292">
        <w:rPr>
          <w:rFonts w:eastAsia="Times New Roman"/>
          <w:iCs/>
          <w:szCs w:val="24"/>
          <w:lang w:eastAsia="en-GB"/>
        </w:rPr>
        <w:t>with</w:t>
      </w:r>
      <w:r w:rsidR="00D3624C" w:rsidRPr="00B63292">
        <w:rPr>
          <w:rFonts w:eastAsia="Times New Roman"/>
          <w:iCs/>
          <w:szCs w:val="24"/>
          <w:lang w:eastAsia="en-GB"/>
        </w:rPr>
        <w:t xml:space="preserve"> </w:t>
      </w:r>
      <w:r w:rsidRPr="00B63292">
        <w:rPr>
          <w:rFonts w:eastAsia="Times New Roman"/>
          <w:iCs/>
          <w:szCs w:val="24"/>
          <w:lang w:eastAsia="en-GB"/>
        </w:rPr>
        <w:t>n</w:t>
      </w:r>
      <w:r w:rsidR="00327629" w:rsidRPr="00B63292">
        <w:rPr>
          <w:rFonts w:eastAsia="Times New Roman"/>
          <w:szCs w:val="24"/>
          <w:lang w:eastAsia="en-GB"/>
        </w:rPr>
        <w:t>otable increase</w:t>
      </w:r>
      <w:r w:rsidR="00A339F2" w:rsidRPr="00B63292">
        <w:rPr>
          <w:rFonts w:eastAsia="Times New Roman"/>
          <w:szCs w:val="24"/>
          <w:lang w:eastAsia="en-GB"/>
        </w:rPr>
        <w:t>s</w:t>
      </w:r>
      <w:r w:rsidR="001860AD" w:rsidRPr="00B63292">
        <w:rPr>
          <w:rFonts w:eastAsia="Times New Roman"/>
          <w:szCs w:val="24"/>
          <w:lang w:eastAsia="en-GB"/>
        </w:rPr>
        <w:t xml:space="preserve"> in filing</w:t>
      </w:r>
      <w:r w:rsidR="00D3624C" w:rsidRPr="00B63292">
        <w:rPr>
          <w:rFonts w:eastAsia="Times New Roman"/>
          <w:szCs w:val="24"/>
          <w:lang w:eastAsia="en-GB"/>
        </w:rPr>
        <w:t>s</w:t>
      </w:r>
      <w:r w:rsidR="005360F2" w:rsidRPr="00B63292">
        <w:rPr>
          <w:rFonts w:eastAsia="Times New Roman"/>
          <w:szCs w:val="24"/>
          <w:lang w:eastAsia="en-GB"/>
        </w:rPr>
        <w:t xml:space="preserve"> </w:t>
      </w:r>
      <w:r w:rsidR="000C2BC0" w:rsidRPr="00B63292">
        <w:rPr>
          <w:rFonts w:eastAsia="Times New Roman"/>
          <w:szCs w:val="24"/>
          <w:lang w:eastAsia="en-GB"/>
        </w:rPr>
        <w:t xml:space="preserve">with the EPO </w:t>
      </w:r>
      <w:r w:rsidR="005360F2" w:rsidRPr="00B63292">
        <w:rPr>
          <w:rFonts w:eastAsia="Times New Roman"/>
          <w:szCs w:val="24"/>
          <w:lang w:eastAsia="en-GB"/>
        </w:rPr>
        <w:t>include</w:t>
      </w:r>
      <w:r w:rsidR="00D3624C" w:rsidRPr="00B63292">
        <w:rPr>
          <w:rFonts w:eastAsia="Times New Roman"/>
          <w:szCs w:val="24"/>
          <w:lang w:eastAsia="en-GB"/>
        </w:rPr>
        <w:t xml:space="preserve"> </w:t>
      </w:r>
      <w:r w:rsidR="00A339F2" w:rsidRPr="00B63292">
        <w:rPr>
          <w:rFonts w:eastAsia="Times New Roman"/>
          <w:szCs w:val="24"/>
          <w:lang w:eastAsia="en-GB"/>
        </w:rPr>
        <w:t>Canada (+</w:t>
      </w:r>
      <w:r w:rsidR="004847B9" w:rsidRPr="00B63292">
        <w:rPr>
          <w:rFonts w:eastAsia="Times New Roman"/>
          <w:szCs w:val="24"/>
          <w:lang w:eastAsia="en-GB"/>
        </w:rPr>
        <w:t>14</w:t>
      </w:r>
      <w:r w:rsidR="000D1265" w:rsidRPr="00B63292">
        <w:rPr>
          <w:rFonts w:eastAsia="Times New Roman"/>
          <w:szCs w:val="24"/>
          <w:lang w:eastAsia="en-GB"/>
        </w:rPr>
        <w:t>.</w:t>
      </w:r>
      <w:r w:rsidR="004847B9" w:rsidRPr="00B63292">
        <w:rPr>
          <w:rFonts w:eastAsia="Times New Roman"/>
          <w:szCs w:val="24"/>
          <w:lang w:eastAsia="en-GB"/>
        </w:rPr>
        <w:t>5</w:t>
      </w:r>
      <w:r w:rsidR="00A339F2" w:rsidRPr="00B63292">
        <w:rPr>
          <w:rFonts w:eastAsia="Times New Roman"/>
          <w:szCs w:val="24"/>
          <w:lang w:eastAsia="en-GB"/>
        </w:rPr>
        <w:t>%)</w:t>
      </w:r>
      <w:r w:rsidR="00975218" w:rsidRPr="00B63292">
        <w:rPr>
          <w:rFonts w:eastAsia="Times New Roman"/>
          <w:szCs w:val="24"/>
          <w:lang w:eastAsia="en-GB"/>
        </w:rPr>
        <w:t xml:space="preserve">, </w:t>
      </w:r>
      <w:r w:rsidR="00A339F2" w:rsidRPr="00B63292">
        <w:rPr>
          <w:rFonts w:eastAsia="Times New Roman"/>
          <w:szCs w:val="24"/>
          <w:lang w:eastAsia="en-GB"/>
        </w:rPr>
        <w:t>Israel (+</w:t>
      </w:r>
      <w:r w:rsidR="004847B9" w:rsidRPr="00B63292">
        <w:rPr>
          <w:rFonts w:eastAsia="Times New Roman"/>
          <w:szCs w:val="24"/>
          <w:lang w:eastAsia="en-GB"/>
        </w:rPr>
        <w:t>6.</w:t>
      </w:r>
      <w:r w:rsidR="000D1265" w:rsidRPr="00B63292">
        <w:rPr>
          <w:rFonts w:eastAsia="Times New Roman"/>
          <w:szCs w:val="24"/>
          <w:lang w:eastAsia="en-GB"/>
        </w:rPr>
        <w:t>8</w:t>
      </w:r>
      <w:r w:rsidR="00A339F2" w:rsidRPr="00B63292">
        <w:rPr>
          <w:rFonts w:eastAsia="Times New Roman"/>
          <w:szCs w:val="24"/>
          <w:lang w:eastAsia="en-GB"/>
        </w:rPr>
        <w:t>%</w:t>
      </w:r>
      <w:r w:rsidR="001860AD" w:rsidRPr="00B63292">
        <w:rPr>
          <w:rFonts w:eastAsia="Times New Roman"/>
          <w:szCs w:val="24"/>
          <w:lang w:eastAsia="en-GB"/>
        </w:rPr>
        <w:t>)</w:t>
      </w:r>
      <w:r w:rsidR="00975218" w:rsidRPr="00B63292">
        <w:rPr>
          <w:rFonts w:eastAsia="Times New Roman"/>
          <w:szCs w:val="24"/>
          <w:lang w:eastAsia="en-GB"/>
        </w:rPr>
        <w:t>,</w:t>
      </w:r>
      <w:r w:rsidR="00A339F2" w:rsidRPr="00B63292">
        <w:rPr>
          <w:rFonts w:eastAsia="Times New Roman"/>
          <w:szCs w:val="24"/>
          <w:lang w:eastAsia="en-GB"/>
        </w:rPr>
        <w:t xml:space="preserve"> and </w:t>
      </w:r>
      <w:r w:rsidR="00253580" w:rsidRPr="00B63292">
        <w:rPr>
          <w:rFonts w:eastAsia="Times New Roman"/>
          <w:szCs w:val="24"/>
          <w:lang w:eastAsia="en-GB"/>
        </w:rPr>
        <w:t xml:space="preserve">– from lower levels </w:t>
      </w:r>
      <w:r w:rsidRPr="00B63292">
        <w:rPr>
          <w:rFonts w:eastAsia="Times New Roman"/>
          <w:szCs w:val="24"/>
          <w:lang w:eastAsia="en-GB"/>
        </w:rPr>
        <w:t xml:space="preserve">– </w:t>
      </w:r>
      <w:r w:rsidR="00ED602A" w:rsidRPr="00B63292">
        <w:rPr>
          <w:rFonts w:eastAsia="Times New Roman"/>
          <w:szCs w:val="24"/>
          <w:lang w:eastAsia="en-GB"/>
        </w:rPr>
        <w:t xml:space="preserve">Saudi Arabia </w:t>
      </w:r>
      <w:r w:rsidR="00327629" w:rsidRPr="00B63292">
        <w:rPr>
          <w:rFonts w:eastAsia="Times New Roman"/>
          <w:szCs w:val="24"/>
          <w:lang w:eastAsia="en-GB"/>
        </w:rPr>
        <w:t>(</w:t>
      </w:r>
      <w:r w:rsidR="00A53767" w:rsidRPr="00B63292">
        <w:rPr>
          <w:rFonts w:eastAsia="Times New Roman"/>
          <w:szCs w:val="24"/>
          <w:lang w:eastAsia="en-GB"/>
        </w:rPr>
        <w:t>+3</w:t>
      </w:r>
      <w:r w:rsidR="004847B9" w:rsidRPr="00B63292">
        <w:rPr>
          <w:rFonts w:eastAsia="Times New Roman"/>
          <w:szCs w:val="24"/>
          <w:lang w:eastAsia="en-GB"/>
        </w:rPr>
        <w:t>8</w:t>
      </w:r>
      <w:r w:rsidR="000D1265" w:rsidRPr="00B63292">
        <w:rPr>
          <w:rFonts w:eastAsia="Times New Roman"/>
          <w:szCs w:val="24"/>
          <w:lang w:eastAsia="en-GB"/>
        </w:rPr>
        <w:t>.</w:t>
      </w:r>
      <w:r w:rsidR="004847B9" w:rsidRPr="00B63292">
        <w:rPr>
          <w:rFonts w:eastAsia="Times New Roman"/>
          <w:szCs w:val="24"/>
          <w:lang w:eastAsia="en-GB"/>
        </w:rPr>
        <w:t>3</w:t>
      </w:r>
      <w:r w:rsidR="00360209" w:rsidRPr="00B63292">
        <w:rPr>
          <w:rFonts w:eastAsia="Times New Roman"/>
          <w:szCs w:val="24"/>
          <w:lang w:eastAsia="en-GB"/>
        </w:rPr>
        <w:t>%</w:t>
      </w:r>
      <w:r w:rsidR="00327629" w:rsidRPr="00B63292">
        <w:rPr>
          <w:rFonts w:eastAsia="Times New Roman"/>
          <w:szCs w:val="24"/>
          <w:lang w:eastAsia="en-GB"/>
        </w:rPr>
        <w:t>)</w:t>
      </w:r>
      <w:r w:rsidR="00CE27C1" w:rsidRPr="00B63292">
        <w:rPr>
          <w:rFonts w:eastAsia="Times New Roman"/>
          <w:szCs w:val="24"/>
          <w:lang w:eastAsia="en-GB"/>
        </w:rPr>
        <w:t xml:space="preserve"> and</w:t>
      </w:r>
      <w:r w:rsidR="00327629" w:rsidRPr="00B63292">
        <w:rPr>
          <w:rFonts w:eastAsia="Times New Roman"/>
          <w:szCs w:val="24"/>
          <w:lang w:eastAsia="en-GB"/>
        </w:rPr>
        <w:t xml:space="preserve"> </w:t>
      </w:r>
      <w:r w:rsidR="00A53767" w:rsidRPr="00B63292">
        <w:rPr>
          <w:rFonts w:eastAsia="Times New Roman"/>
          <w:szCs w:val="24"/>
          <w:lang w:eastAsia="en-GB"/>
        </w:rPr>
        <w:t xml:space="preserve">Brazil </w:t>
      </w:r>
      <w:r w:rsidR="00360209" w:rsidRPr="00B63292">
        <w:rPr>
          <w:rFonts w:eastAsia="Times New Roman"/>
          <w:szCs w:val="24"/>
          <w:lang w:eastAsia="en-GB"/>
        </w:rPr>
        <w:t>(</w:t>
      </w:r>
      <w:r w:rsidR="002718B3">
        <w:rPr>
          <w:rFonts w:eastAsia="Times New Roman"/>
          <w:szCs w:val="24"/>
          <w:lang w:eastAsia="en-GB"/>
        </w:rPr>
        <w:t>+</w:t>
      </w:r>
      <w:r w:rsidR="000D1265" w:rsidRPr="00B63292">
        <w:rPr>
          <w:rFonts w:eastAsia="Times New Roman"/>
          <w:szCs w:val="24"/>
          <w:lang w:eastAsia="en-GB"/>
        </w:rPr>
        <w:t>18.8</w:t>
      </w:r>
      <w:r w:rsidR="00360209" w:rsidRPr="00B63292">
        <w:rPr>
          <w:rFonts w:eastAsia="Times New Roman"/>
          <w:szCs w:val="24"/>
          <w:lang w:eastAsia="en-GB"/>
        </w:rPr>
        <w:t>%)</w:t>
      </w:r>
      <w:r w:rsidR="001D1743" w:rsidRPr="00B63292">
        <w:rPr>
          <w:rFonts w:eastAsia="Times New Roman"/>
          <w:szCs w:val="24"/>
          <w:lang w:eastAsia="en-GB"/>
        </w:rPr>
        <w:t xml:space="preserve">. </w:t>
      </w:r>
    </w:p>
    <w:p w14:paraId="3B602049" w14:textId="110419EC" w:rsidR="009A329A" w:rsidRDefault="007C7605" w:rsidP="009A329A">
      <w:pPr>
        <w:spacing w:before="100" w:beforeAutospacing="1" w:after="100" w:afterAutospacing="1"/>
        <w:outlineLvl w:val="2"/>
        <w:rPr>
          <w:rFonts w:eastAsia="Times New Roman"/>
          <w:b/>
          <w:bCs/>
          <w:sz w:val="27"/>
          <w:szCs w:val="27"/>
          <w:lang w:eastAsia="en-GB"/>
        </w:rPr>
      </w:pPr>
      <w:r w:rsidRPr="00B63292">
        <w:rPr>
          <w:rFonts w:eastAsia="Times New Roman"/>
          <w:b/>
          <w:bCs/>
          <w:sz w:val="27"/>
          <w:szCs w:val="27"/>
          <w:lang w:eastAsia="en-GB"/>
        </w:rPr>
        <w:t>Europe</w:t>
      </w:r>
      <w:r w:rsidR="005D1B6A" w:rsidRPr="00B63292">
        <w:rPr>
          <w:rFonts w:eastAsia="Times New Roman"/>
          <w:b/>
          <w:bCs/>
          <w:sz w:val="27"/>
          <w:szCs w:val="27"/>
          <w:lang w:eastAsia="en-GB"/>
        </w:rPr>
        <w:t>an</w:t>
      </w:r>
      <w:r w:rsidR="003F4006" w:rsidRPr="00B63292">
        <w:rPr>
          <w:rFonts w:eastAsia="Times New Roman"/>
          <w:b/>
          <w:bCs/>
          <w:sz w:val="27"/>
          <w:szCs w:val="27"/>
          <w:lang w:eastAsia="en-GB"/>
        </w:rPr>
        <w:t xml:space="preserve"> trends</w:t>
      </w:r>
      <w:r w:rsidR="00327629" w:rsidRPr="00B63292">
        <w:rPr>
          <w:rFonts w:eastAsia="Times New Roman"/>
          <w:b/>
          <w:bCs/>
          <w:sz w:val="27"/>
          <w:szCs w:val="27"/>
          <w:lang w:eastAsia="en-GB"/>
        </w:rPr>
        <w:t xml:space="preserve">: </w:t>
      </w:r>
      <w:r w:rsidR="004B58F8" w:rsidRPr="00B63292">
        <w:rPr>
          <w:rFonts w:eastAsia="Times New Roman"/>
          <w:b/>
          <w:bCs/>
          <w:sz w:val="27"/>
          <w:szCs w:val="27"/>
          <w:lang w:eastAsia="en-GB"/>
        </w:rPr>
        <w:t xml:space="preserve">Germany stable </w:t>
      </w:r>
      <w:r w:rsidR="006E7C30" w:rsidRPr="00B63292">
        <w:rPr>
          <w:rFonts w:eastAsia="Times New Roman"/>
          <w:b/>
          <w:bCs/>
          <w:sz w:val="27"/>
          <w:szCs w:val="27"/>
          <w:lang w:eastAsia="en-GB"/>
        </w:rPr>
        <w:t>while</w:t>
      </w:r>
      <w:r w:rsidR="004B58F8" w:rsidRPr="00B63292">
        <w:rPr>
          <w:rFonts w:eastAsia="Times New Roman"/>
          <w:b/>
          <w:bCs/>
          <w:sz w:val="27"/>
          <w:szCs w:val="27"/>
          <w:lang w:eastAsia="en-GB"/>
        </w:rPr>
        <w:t xml:space="preserve"> </w:t>
      </w:r>
      <w:r w:rsidR="00327629" w:rsidRPr="00B63292">
        <w:rPr>
          <w:rFonts w:eastAsia="Times New Roman"/>
          <w:b/>
          <w:bCs/>
          <w:sz w:val="27"/>
          <w:szCs w:val="27"/>
          <w:lang w:eastAsia="en-GB"/>
        </w:rPr>
        <w:t xml:space="preserve">Sweden, </w:t>
      </w:r>
      <w:r w:rsidR="006E7C30" w:rsidRPr="00B63292">
        <w:rPr>
          <w:rFonts w:eastAsia="Times New Roman"/>
          <w:b/>
          <w:bCs/>
          <w:sz w:val="27"/>
          <w:szCs w:val="27"/>
          <w:lang w:eastAsia="en-GB"/>
        </w:rPr>
        <w:t xml:space="preserve">the UK and </w:t>
      </w:r>
      <w:r w:rsidR="00FE5FFE" w:rsidRPr="00B63292">
        <w:rPr>
          <w:rFonts w:eastAsia="Times New Roman"/>
          <w:b/>
          <w:bCs/>
          <w:sz w:val="27"/>
          <w:szCs w:val="27"/>
          <w:lang w:eastAsia="en-GB"/>
        </w:rPr>
        <w:t>Spain</w:t>
      </w:r>
      <w:r w:rsidR="00780C28" w:rsidRPr="00B63292">
        <w:rPr>
          <w:rFonts w:eastAsia="Times New Roman"/>
          <w:b/>
          <w:bCs/>
          <w:sz w:val="27"/>
          <w:szCs w:val="27"/>
          <w:lang w:eastAsia="en-GB"/>
        </w:rPr>
        <w:t xml:space="preserve"> </w:t>
      </w:r>
      <w:r w:rsidR="00327629" w:rsidRPr="00B63292">
        <w:rPr>
          <w:rFonts w:eastAsia="Times New Roman"/>
          <w:b/>
          <w:bCs/>
          <w:sz w:val="27"/>
          <w:szCs w:val="27"/>
          <w:lang w:eastAsia="en-GB"/>
        </w:rPr>
        <w:t>show solid growth</w:t>
      </w:r>
      <w:r w:rsidR="00327629" w:rsidRPr="00BD6DE4">
        <w:rPr>
          <w:rFonts w:eastAsia="Times New Roman"/>
          <w:b/>
          <w:bCs/>
          <w:sz w:val="27"/>
          <w:szCs w:val="27"/>
          <w:lang w:eastAsia="en-GB"/>
        </w:rPr>
        <w:t xml:space="preserve"> </w:t>
      </w:r>
    </w:p>
    <w:p w14:paraId="116427BA" w14:textId="3F0B931A" w:rsidR="00E32409" w:rsidRPr="00E32409" w:rsidRDefault="00801AF7" w:rsidP="00E32409">
      <w:pPr>
        <w:pStyle w:val="CommentText"/>
        <w:rPr>
          <w:sz w:val="24"/>
          <w:szCs w:val="24"/>
        </w:rPr>
      </w:pPr>
      <w:r>
        <w:rPr>
          <w:rFonts w:eastAsia="Times New Roman"/>
          <w:sz w:val="24"/>
          <w:szCs w:val="24"/>
          <w:lang w:eastAsia="en-GB"/>
        </w:rPr>
        <w:t>Patent a</w:t>
      </w:r>
      <w:r w:rsidR="00D3624C">
        <w:rPr>
          <w:rFonts w:eastAsia="Times New Roman"/>
          <w:sz w:val="24"/>
          <w:szCs w:val="24"/>
          <w:lang w:eastAsia="en-GB"/>
        </w:rPr>
        <w:t xml:space="preserve">pplications </w:t>
      </w:r>
      <w:r w:rsidR="000C2BC0">
        <w:rPr>
          <w:rFonts w:eastAsia="Times New Roman"/>
          <w:sz w:val="24"/>
          <w:szCs w:val="24"/>
          <w:lang w:eastAsia="en-GB"/>
        </w:rPr>
        <w:t xml:space="preserve">coming </w:t>
      </w:r>
      <w:r w:rsidR="00D3624C">
        <w:rPr>
          <w:rFonts w:eastAsia="Times New Roman"/>
          <w:sz w:val="24"/>
          <w:szCs w:val="24"/>
          <w:lang w:eastAsia="en-GB"/>
        </w:rPr>
        <w:t xml:space="preserve">from </w:t>
      </w:r>
      <w:r>
        <w:rPr>
          <w:rFonts w:eastAsia="Times New Roman"/>
          <w:sz w:val="24"/>
          <w:szCs w:val="24"/>
          <w:lang w:eastAsia="en-GB"/>
        </w:rPr>
        <w:t>the EPO member states</w:t>
      </w:r>
      <w:r w:rsidR="00327629" w:rsidRPr="00E32409">
        <w:rPr>
          <w:rFonts w:eastAsia="Times New Roman"/>
          <w:sz w:val="24"/>
          <w:szCs w:val="24"/>
          <w:lang w:eastAsia="en-GB"/>
        </w:rPr>
        <w:t xml:space="preserve"> </w:t>
      </w:r>
      <w:r w:rsidR="00D3624C">
        <w:rPr>
          <w:rFonts w:eastAsia="Times New Roman"/>
          <w:sz w:val="24"/>
          <w:szCs w:val="24"/>
          <w:lang w:eastAsia="en-GB"/>
        </w:rPr>
        <w:t>develop</w:t>
      </w:r>
      <w:r w:rsidR="00D3624C" w:rsidRPr="00E32409">
        <w:rPr>
          <w:rFonts w:eastAsia="Times New Roman"/>
          <w:sz w:val="24"/>
          <w:szCs w:val="24"/>
          <w:lang w:eastAsia="en-GB"/>
        </w:rPr>
        <w:t>ed st</w:t>
      </w:r>
      <w:r w:rsidR="00D3624C">
        <w:rPr>
          <w:rFonts w:eastAsia="Times New Roman"/>
          <w:sz w:val="24"/>
          <w:szCs w:val="24"/>
          <w:lang w:eastAsia="en-GB"/>
        </w:rPr>
        <w:t>ab</w:t>
      </w:r>
      <w:r w:rsidR="00D3624C" w:rsidRPr="00E32409">
        <w:rPr>
          <w:rFonts w:eastAsia="Times New Roman"/>
          <w:sz w:val="24"/>
          <w:szCs w:val="24"/>
          <w:lang w:eastAsia="en-GB"/>
        </w:rPr>
        <w:t xml:space="preserve">ly </w:t>
      </w:r>
      <w:r w:rsidR="00FE5FFE" w:rsidRPr="00E32409">
        <w:rPr>
          <w:rFonts w:eastAsia="Times New Roman"/>
          <w:sz w:val="24"/>
          <w:szCs w:val="24"/>
          <w:lang w:eastAsia="en-GB"/>
        </w:rPr>
        <w:t>overall</w:t>
      </w:r>
      <w:r w:rsidR="00327629" w:rsidRPr="00E32409">
        <w:rPr>
          <w:rFonts w:eastAsia="Times New Roman"/>
          <w:sz w:val="24"/>
          <w:szCs w:val="24"/>
          <w:lang w:eastAsia="en-GB"/>
        </w:rPr>
        <w:t xml:space="preserve">, with most </w:t>
      </w:r>
      <w:r w:rsidR="000C2BC0">
        <w:rPr>
          <w:rFonts w:eastAsia="Times New Roman"/>
          <w:sz w:val="24"/>
          <w:szCs w:val="24"/>
          <w:lang w:eastAsia="en-GB"/>
        </w:rPr>
        <w:t xml:space="preserve">firms </w:t>
      </w:r>
      <w:r w:rsidR="00327629" w:rsidRPr="00E32409">
        <w:rPr>
          <w:rFonts w:eastAsia="Times New Roman"/>
          <w:sz w:val="24"/>
          <w:szCs w:val="24"/>
          <w:lang w:eastAsia="en-GB"/>
        </w:rPr>
        <w:t>filing more patent applications than in 201</w:t>
      </w:r>
      <w:r w:rsidR="00FE5FFE" w:rsidRPr="00E32409">
        <w:rPr>
          <w:rFonts w:eastAsia="Times New Roman"/>
          <w:sz w:val="24"/>
          <w:szCs w:val="24"/>
          <w:lang w:eastAsia="en-GB"/>
        </w:rPr>
        <w:t>8</w:t>
      </w:r>
      <w:r w:rsidR="00327629" w:rsidRPr="00E32409">
        <w:rPr>
          <w:rFonts w:eastAsia="Times New Roman"/>
          <w:sz w:val="24"/>
          <w:szCs w:val="24"/>
          <w:lang w:eastAsia="en-GB"/>
        </w:rPr>
        <w:t xml:space="preserve">. </w:t>
      </w:r>
      <w:r w:rsidR="000E5615" w:rsidRPr="00E32409">
        <w:rPr>
          <w:rFonts w:eastAsia="Times New Roman"/>
          <w:sz w:val="24"/>
          <w:szCs w:val="24"/>
          <w:lang w:eastAsia="en-GB"/>
        </w:rPr>
        <w:t>Sweden (+</w:t>
      </w:r>
      <w:r w:rsidR="003C6AC5" w:rsidRPr="00E32409">
        <w:rPr>
          <w:rFonts w:eastAsia="Times New Roman"/>
          <w:sz w:val="24"/>
          <w:szCs w:val="24"/>
          <w:lang w:eastAsia="en-GB"/>
        </w:rPr>
        <w:t>8.0</w:t>
      </w:r>
      <w:r w:rsidR="000E5615" w:rsidRPr="00E32409">
        <w:rPr>
          <w:rFonts w:eastAsia="Times New Roman"/>
          <w:sz w:val="24"/>
          <w:szCs w:val="24"/>
          <w:lang w:eastAsia="en-GB"/>
        </w:rPr>
        <w:t>%</w:t>
      </w:r>
      <w:r w:rsidR="00D70ADD" w:rsidRPr="00E32409">
        <w:rPr>
          <w:rFonts w:eastAsia="Times New Roman"/>
          <w:sz w:val="24"/>
          <w:szCs w:val="24"/>
          <w:lang w:eastAsia="en-GB"/>
        </w:rPr>
        <w:t>)</w:t>
      </w:r>
      <w:r w:rsidR="000E5615" w:rsidRPr="00E32409">
        <w:rPr>
          <w:rFonts w:eastAsia="Times New Roman"/>
          <w:sz w:val="24"/>
          <w:szCs w:val="24"/>
          <w:lang w:eastAsia="en-GB"/>
        </w:rPr>
        <w:t xml:space="preserve"> </w:t>
      </w:r>
      <w:r w:rsidR="00906F8B">
        <w:rPr>
          <w:rFonts w:eastAsia="Times New Roman"/>
          <w:sz w:val="24"/>
          <w:szCs w:val="24"/>
          <w:lang w:eastAsia="en-GB"/>
        </w:rPr>
        <w:t xml:space="preserve">was the growth champion, boosted by </w:t>
      </w:r>
      <w:r w:rsidR="00975218">
        <w:rPr>
          <w:rFonts w:eastAsia="Times New Roman"/>
          <w:sz w:val="24"/>
          <w:szCs w:val="24"/>
          <w:lang w:eastAsia="en-GB"/>
        </w:rPr>
        <w:t>increases</w:t>
      </w:r>
      <w:r w:rsidR="00D70ADD" w:rsidRPr="00E32409">
        <w:rPr>
          <w:rFonts w:eastAsia="Times New Roman"/>
          <w:sz w:val="24"/>
          <w:szCs w:val="24"/>
          <w:lang w:eastAsia="en-GB"/>
        </w:rPr>
        <w:t xml:space="preserve"> in applications related to digital communication and computer</w:t>
      </w:r>
      <w:r w:rsidR="008B3E05">
        <w:rPr>
          <w:rFonts w:eastAsia="Times New Roman"/>
          <w:sz w:val="24"/>
          <w:szCs w:val="24"/>
          <w:lang w:eastAsia="en-GB"/>
        </w:rPr>
        <w:t xml:space="preserve"> technology</w:t>
      </w:r>
      <w:r w:rsidR="00906F8B">
        <w:rPr>
          <w:rFonts w:eastAsia="Times New Roman"/>
          <w:sz w:val="24"/>
          <w:szCs w:val="24"/>
          <w:lang w:eastAsia="en-GB"/>
        </w:rPr>
        <w:t xml:space="preserve">. </w:t>
      </w:r>
      <w:r w:rsidR="000C2BC0">
        <w:rPr>
          <w:rFonts w:eastAsia="Times New Roman"/>
          <w:sz w:val="24"/>
          <w:szCs w:val="24"/>
          <w:lang w:eastAsia="en-GB"/>
        </w:rPr>
        <w:t>Patent filings from t</w:t>
      </w:r>
      <w:r w:rsidR="000E5615" w:rsidRPr="00E32409">
        <w:rPr>
          <w:rFonts w:eastAsia="Times New Roman"/>
          <w:sz w:val="24"/>
          <w:szCs w:val="24"/>
          <w:lang w:eastAsia="en-GB"/>
        </w:rPr>
        <w:t>he UK (+</w:t>
      </w:r>
      <w:r w:rsidR="003C6AC5" w:rsidRPr="00E32409">
        <w:rPr>
          <w:rFonts w:eastAsia="Times New Roman"/>
          <w:sz w:val="24"/>
          <w:szCs w:val="24"/>
          <w:lang w:eastAsia="en-GB"/>
        </w:rPr>
        <w:t>6</w:t>
      </w:r>
      <w:r w:rsidR="000E5615" w:rsidRPr="00E32409">
        <w:rPr>
          <w:rFonts w:eastAsia="Times New Roman"/>
          <w:sz w:val="24"/>
          <w:szCs w:val="24"/>
          <w:lang w:eastAsia="en-GB"/>
        </w:rPr>
        <w:t>.</w:t>
      </w:r>
      <w:r w:rsidR="003C6AC5" w:rsidRPr="00E32409">
        <w:rPr>
          <w:rFonts w:eastAsia="Times New Roman"/>
          <w:sz w:val="24"/>
          <w:szCs w:val="24"/>
          <w:lang w:eastAsia="en-GB"/>
        </w:rPr>
        <w:t>9</w:t>
      </w:r>
      <w:r w:rsidR="000E5615" w:rsidRPr="00E32409">
        <w:rPr>
          <w:rFonts w:eastAsia="Times New Roman"/>
          <w:sz w:val="24"/>
          <w:szCs w:val="24"/>
          <w:lang w:eastAsia="en-GB"/>
        </w:rPr>
        <w:t>%) and Switzerland (+3.</w:t>
      </w:r>
      <w:r w:rsidR="003C6AC5" w:rsidRPr="00E32409">
        <w:rPr>
          <w:rFonts w:eastAsia="Times New Roman"/>
          <w:sz w:val="24"/>
          <w:szCs w:val="24"/>
          <w:lang w:eastAsia="en-GB"/>
        </w:rPr>
        <w:t>6</w:t>
      </w:r>
      <w:r w:rsidR="000E5615" w:rsidRPr="00E32409">
        <w:rPr>
          <w:rFonts w:eastAsia="Times New Roman"/>
          <w:sz w:val="24"/>
          <w:szCs w:val="24"/>
          <w:lang w:eastAsia="en-GB"/>
        </w:rPr>
        <w:t xml:space="preserve">%) continued to </w:t>
      </w:r>
      <w:r>
        <w:rPr>
          <w:rFonts w:eastAsia="Times New Roman"/>
          <w:sz w:val="24"/>
          <w:szCs w:val="24"/>
          <w:lang w:eastAsia="en-GB"/>
        </w:rPr>
        <w:t>increase significantly</w:t>
      </w:r>
      <w:r w:rsidR="000C2BC0">
        <w:rPr>
          <w:rFonts w:eastAsia="Times New Roman"/>
          <w:sz w:val="24"/>
          <w:szCs w:val="24"/>
          <w:lang w:eastAsia="en-GB"/>
        </w:rPr>
        <w:t>, too</w:t>
      </w:r>
      <w:r w:rsidR="00F531D6">
        <w:rPr>
          <w:rFonts w:eastAsia="Times New Roman"/>
          <w:sz w:val="24"/>
          <w:szCs w:val="24"/>
          <w:lang w:eastAsia="en-GB"/>
        </w:rPr>
        <w:t>, while filings from</w:t>
      </w:r>
      <w:r w:rsidR="00F531D6" w:rsidRPr="00E32409">
        <w:rPr>
          <w:rFonts w:eastAsia="Times New Roman"/>
          <w:sz w:val="24"/>
          <w:szCs w:val="24"/>
          <w:lang w:eastAsia="en-GB"/>
        </w:rPr>
        <w:t xml:space="preserve"> Italy </w:t>
      </w:r>
      <w:r>
        <w:rPr>
          <w:rFonts w:eastAsia="Times New Roman"/>
          <w:sz w:val="24"/>
          <w:szCs w:val="24"/>
          <w:lang w:eastAsia="en-GB"/>
        </w:rPr>
        <w:t>advanced</w:t>
      </w:r>
      <w:r w:rsidR="00C568C5">
        <w:rPr>
          <w:rFonts w:eastAsia="Times New Roman"/>
          <w:sz w:val="24"/>
          <w:szCs w:val="24"/>
          <w:lang w:eastAsia="en-GB"/>
        </w:rPr>
        <w:t xml:space="preserve"> </w:t>
      </w:r>
      <w:r w:rsidR="00F531D6">
        <w:rPr>
          <w:rFonts w:eastAsia="Times New Roman"/>
          <w:sz w:val="24"/>
          <w:szCs w:val="24"/>
          <w:lang w:eastAsia="en-GB"/>
        </w:rPr>
        <w:t>by</w:t>
      </w:r>
      <w:r w:rsidR="00F531D6" w:rsidRPr="00E32409">
        <w:rPr>
          <w:rFonts w:eastAsia="Times New Roman"/>
          <w:sz w:val="24"/>
          <w:szCs w:val="24"/>
          <w:lang w:eastAsia="en-GB"/>
        </w:rPr>
        <w:t xml:space="preserve"> 1.2%. </w:t>
      </w:r>
      <w:r w:rsidR="000C2BC0">
        <w:rPr>
          <w:rFonts w:eastAsia="Times New Roman"/>
          <w:sz w:val="24"/>
          <w:szCs w:val="24"/>
          <w:lang w:eastAsia="en-GB"/>
        </w:rPr>
        <w:t>A</w:t>
      </w:r>
      <w:r w:rsidR="000C2BC0" w:rsidRPr="000C2BC0">
        <w:rPr>
          <w:rFonts w:eastAsia="Times New Roman"/>
          <w:sz w:val="24"/>
          <w:szCs w:val="24"/>
          <w:lang w:eastAsia="en-GB"/>
        </w:rPr>
        <w:t xml:space="preserve">fter two </w:t>
      </w:r>
      <w:r w:rsidR="000C2BC0">
        <w:rPr>
          <w:rFonts w:eastAsia="Times New Roman"/>
          <w:sz w:val="24"/>
          <w:szCs w:val="24"/>
          <w:lang w:eastAsia="en-GB"/>
        </w:rPr>
        <w:t xml:space="preserve">consecutive </w:t>
      </w:r>
      <w:r w:rsidR="000C2BC0" w:rsidRPr="000C2BC0">
        <w:rPr>
          <w:rFonts w:eastAsia="Times New Roman"/>
          <w:sz w:val="24"/>
          <w:szCs w:val="24"/>
          <w:lang w:eastAsia="en-GB"/>
        </w:rPr>
        <w:t xml:space="preserve">years of growth </w:t>
      </w:r>
      <w:r w:rsidR="000C2BC0">
        <w:rPr>
          <w:rFonts w:eastAsia="Times New Roman"/>
          <w:sz w:val="24"/>
          <w:szCs w:val="24"/>
          <w:lang w:eastAsia="en-GB"/>
        </w:rPr>
        <w:t>t</w:t>
      </w:r>
      <w:r w:rsidR="000C2BC0" w:rsidRPr="00E32409">
        <w:rPr>
          <w:rFonts w:eastAsia="Times New Roman"/>
          <w:sz w:val="24"/>
          <w:szCs w:val="24"/>
          <w:lang w:eastAsia="en-GB"/>
        </w:rPr>
        <w:t xml:space="preserve">he </w:t>
      </w:r>
      <w:r w:rsidR="00253580" w:rsidRPr="00E32409">
        <w:rPr>
          <w:rFonts w:eastAsia="Times New Roman"/>
          <w:sz w:val="24"/>
          <w:szCs w:val="24"/>
          <w:lang w:eastAsia="en-GB"/>
        </w:rPr>
        <w:t xml:space="preserve">number </w:t>
      </w:r>
      <w:r w:rsidR="009C3384" w:rsidRPr="00E32409">
        <w:rPr>
          <w:rFonts w:eastAsia="Times New Roman"/>
          <w:sz w:val="24"/>
          <w:szCs w:val="24"/>
          <w:lang w:eastAsia="en-GB"/>
        </w:rPr>
        <w:t xml:space="preserve">of </w:t>
      </w:r>
      <w:r w:rsidR="00253580" w:rsidRPr="00E32409">
        <w:rPr>
          <w:rFonts w:eastAsia="Times New Roman"/>
          <w:sz w:val="24"/>
          <w:szCs w:val="24"/>
          <w:lang w:eastAsia="en-GB"/>
        </w:rPr>
        <w:t xml:space="preserve">patent applications coming from </w:t>
      </w:r>
      <w:r w:rsidR="00FF5D1F" w:rsidRPr="00E32409">
        <w:rPr>
          <w:rFonts w:eastAsia="Times New Roman"/>
          <w:sz w:val="24"/>
          <w:szCs w:val="24"/>
          <w:lang w:eastAsia="en-GB"/>
        </w:rPr>
        <w:t>Europe’s top filing country</w:t>
      </w:r>
      <w:r w:rsidR="007B56FA">
        <w:rPr>
          <w:rFonts w:eastAsia="Times New Roman"/>
          <w:sz w:val="24"/>
          <w:szCs w:val="24"/>
          <w:lang w:eastAsia="en-GB"/>
        </w:rPr>
        <w:t>,</w:t>
      </w:r>
      <w:r w:rsidR="00FF5D1F" w:rsidRPr="00E32409">
        <w:rPr>
          <w:rFonts w:eastAsia="Times New Roman"/>
          <w:sz w:val="24"/>
          <w:szCs w:val="24"/>
          <w:lang w:eastAsia="en-GB"/>
        </w:rPr>
        <w:t xml:space="preserve"> Germany</w:t>
      </w:r>
      <w:r w:rsidR="007B56FA">
        <w:rPr>
          <w:rFonts w:eastAsia="Times New Roman"/>
          <w:sz w:val="24"/>
          <w:szCs w:val="24"/>
          <w:lang w:eastAsia="en-GB"/>
        </w:rPr>
        <w:t>,</w:t>
      </w:r>
      <w:r w:rsidR="00FF5D1F" w:rsidRPr="00E32409">
        <w:rPr>
          <w:rFonts w:eastAsia="Times New Roman"/>
          <w:sz w:val="24"/>
          <w:szCs w:val="24"/>
          <w:lang w:eastAsia="en-GB"/>
        </w:rPr>
        <w:t xml:space="preserve"> </w:t>
      </w:r>
      <w:r w:rsidR="00253580" w:rsidRPr="00E32409">
        <w:rPr>
          <w:rFonts w:eastAsia="Times New Roman"/>
          <w:sz w:val="24"/>
          <w:szCs w:val="24"/>
          <w:lang w:eastAsia="en-GB"/>
        </w:rPr>
        <w:t>remained stable</w:t>
      </w:r>
      <w:r w:rsidR="00FF5D1F" w:rsidRPr="00E32409">
        <w:rPr>
          <w:rFonts w:eastAsia="Times New Roman"/>
          <w:sz w:val="24"/>
          <w:szCs w:val="24"/>
          <w:lang w:eastAsia="en-GB"/>
        </w:rPr>
        <w:t xml:space="preserve"> </w:t>
      </w:r>
      <w:r w:rsidR="003C6AC5" w:rsidRPr="00E32409">
        <w:rPr>
          <w:rFonts w:eastAsia="Times New Roman"/>
          <w:sz w:val="24"/>
          <w:szCs w:val="24"/>
          <w:lang w:eastAsia="en-GB"/>
        </w:rPr>
        <w:t>(+0.5%)</w:t>
      </w:r>
      <w:r w:rsidR="00C7442C" w:rsidRPr="00E32409">
        <w:rPr>
          <w:rFonts w:eastAsia="Times New Roman"/>
          <w:sz w:val="24"/>
          <w:szCs w:val="24"/>
          <w:lang w:eastAsia="en-GB"/>
        </w:rPr>
        <w:t>, while</w:t>
      </w:r>
      <w:r w:rsidR="00C434A1" w:rsidRPr="00E32409">
        <w:rPr>
          <w:rFonts w:eastAsia="Times New Roman"/>
          <w:sz w:val="24"/>
          <w:szCs w:val="24"/>
          <w:lang w:eastAsia="en-GB"/>
        </w:rPr>
        <w:t xml:space="preserve"> </w:t>
      </w:r>
      <w:r w:rsidR="00327629" w:rsidRPr="00E32409">
        <w:rPr>
          <w:rFonts w:eastAsia="Times New Roman"/>
          <w:sz w:val="24"/>
          <w:szCs w:val="24"/>
          <w:lang w:eastAsia="en-GB"/>
        </w:rPr>
        <w:t xml:space="preserve">France </w:t>
      </w:r>
      <w:r w:rsidR="000E5615" w:rsidRPr="00E32409">
        <w:rPr>
          <w:rFonts w:eastAsia="Times New Roman"/>
          <w:sz w:val="24"/>
          <w:szCs w:val="24"/>
          <w:lang w:eastAsia="en-GB"/>
        </w:rPr>
        <w:t>(</w:t>
      </w:r>
      <w:r w:rsidR="003C6AC5" w:rsidRPr="00E32409">
        <w:rPr>
          <w:rFonts w:eastAsia="Times New Roman"/>
          <w:sz w:val="24"/>
          <w:szCs w:val="24"/>
          <w:lang w:eastAsia="en-GB"/>
        </w:rPr>
        <w:t>-2.9</w:t>
      </w:r>
      <w:r w:rsidR="000E5615" w:rsidRPr="00E32409">
        <w:rPr>
          <w:rFonts w:eastAsia="Times New Roman"/>
          <w:sz w:val="24"/>
          <w:szCs w:val="24"/>
          <w:lang w:eastAsia="en-GB"/>
        </w:rPr>
        <w:t xml:space="preserve">%) </w:t>
      </w:r>
      <w:r w:rsidR="00327629" w:rsidRPr="00E32409">
        <w:rPr>
          <w:rFonts w:eastAsia="Times New Roman"/>
          <w:sz w:val="24"/>
          <w:szCs w:val="24"/>
          <w:lang w:eastAsia="en-GB"/>
        </w:rPr>
        <w:t xml:space="preserve">and </w:t>
      </w:r>
      <w:r w:rsidR="00FF5D1F" w:rsidRPr="00E32409">
        <w:rPr>
          <w:rFonts w:eastAsia="Times New Roman"/>
          <w:sz w:val="24"/>
          <w:szCs w:val="24"/>
          <w:lang w:eastAsia="en-GB"/>
        </w:rPr>
        <w:t xml:space="preserve">the Netherlands </w:t>
      </w:r>
      <w:r w:rsidR="000E5615" w:rsidRPr="00E32409">
        <w:rPr>
          <w:rFonts w:eastAsia="Times New Roman"/>
          <w:sz w:val="24"/>
          <w:szCs w:val="24"/>
          <w:lang w:eastAsia="en-GB"/>
        </w:rPr>
        <w:t>(-2.</w:t>
      </w:r>
      <w:r w:rsidR="003C6AC5" w:rsidRPr="00E32409">
        <w:rPr>
          <w:rFonts w:eastAsia="Times New Roman"/>
          <w:sz w:val="24"/>
          <w:szCs w:val="24"/>
          <w:lang w:eastAsia="en-GB"/>
        </w:rPr>
        <w:t>6</w:t>
      </w:r>
      <w:r w:rsidR="000E5615" w:rsidRPr="00E32409">
        <w:rPr>
          <w:rFonts w:eastAsia="Times New Roman"/>
          <w:sz w:val="24"/>
          <w:szCs w:val="24"/>
          <w:lang w:eastAsia="en-GB"/>
        </w:rPr>
        <w:t xml:space="preserve">%) </w:t>
      </w:r>
      <w:r w:rsidR="00FF5D1F" w:rsidRPr="00E32409">
        <w:rPr>
          <w:rFonts w:eastAsia="Times New Roman"/>
          <w:sz w:val="24"/>
          <w:szCs w:val="24"/>
          <w:lang w:eastAsia="en-GB"/>
        </w:rPr>
        <w:t>saw decrease</w:t>
      </w:r>
      <w:r w:rsidR="000E5615" w:rsidRPr="00E32409">
        <w:rPr>
          <w:rFonts w:eastAsia="Times New Roman"/>
          <w:sz w:val="24"/>
          <w:szCs w:val="24"/>
          <w:lang w:eastAsia="en-GB"/>
        </w:rPr>
        <w:t>s</w:t>
      </w:r>
      <w:r w:rsidR="003A7CDE" w:rsidRPr="00E32409">
        <w:rPr>
          <w:rFonts w:eastAsia="Times New Roman"/>
          <w:sz w:val="24"/>
          <w:szCs w:val="24"/>
          <w:lang w:eastAsia="en-GB"/>
        </w:rPr>
        <w:t xml:space="preserve"> </w:t>
      </w:r>
      <w:r w:rsidR="006E7C30" w:rsidRPr="00E32409">
        <w:rPr>
          <w:rFonts w:eastAsia="Times New Roman"/>
          <w:sz w:val="24"/>
          <w:szCs w:val="24"/>
          <w:lang w:eastAsia="en-GB"/>
        </w:rPr>
        <w:t xml:space="preserve">last </w:t>
      </w:r>
      <w:r w:rsidR="003A7CDE" w:rsidRPr="00E32409">
        <w:rPr>
          <w:rFonts w:eastAsia="Times New Roman"/>
          <w:sz w:val="24"/>
          <w:szCs w:val="24"/>
          <w:lang w:eastAsia="en-GB"/>
        </w:rPr>
        <w:t>year</w:t>
      </w:r>
      <w:r w:rsidR="00196ACA">
        <w:rPr>
          <w:rFonts w:eastAsia="Times New Roman"/>
          <w:sz w:val="24"/>
          <w:szCs w:val="24"/>
          <w:lang w:eastAsia="en-GB"/>
        </w:rPr>
        <w:t xml:space="preserve">. </w:t>
      </w:r>
      <w:r w:rsidR="000C2BC0">
        <w:rPr>
          <w:sz w:val="24"/>
          <w:szCs w:val="24"/>
        </w:rPr>
        <w:t xml:space="preserve">The drop in patent filings from France </w:t>
      </w:r>
      <w:r w:rsidR="00B35F7A" w:rsidRPr="00B35F7A">
        <w:rPr>
          <w:sz w:val="24"/>
          <w:szCs w:val="24"/>
        </w:rPr>
        <w:t>was due to</w:t>
      </w:r>
      <w:r w:rsidR="00196ACA">
        <w:rPr>
          <w:sz w:val="24"/>
          <w:szCs w:val="24"/>
        </w:rPr>
        <w:t xml:space="preserve"> </w:t>
      </w:r>
      <w:r w:rsidR="00B35F7A" w:rsidRPr="00B35F7A">
        <w:rPr>
          <w:sz w:val="24"/>
          <w:szCs w:val="24"/>
        </w:rPr>
        <w:t xml:space="preserve">fewer applications in fields such as digital communication and automotive, while in the Netherlands, </w:t>
      </w:r>
      <w:r w:rsidR="000C2BC0">
        <w:rPr>
          <w:sz w:val="24"/>
          <w:szCs w:val="24"/>
        </w:rPr>
        <w:t>lower numbers of applications were filed</w:t>
      </w:r>
      <w:r w:rsidR="000C2BC0" w:rsidRPr="00B35F7A">
        <w:rPr>
          <w:sz w:val="24"/>
          <w:szCs w:val="24"/>
        </w:rPr>
        <w:t xml:space="preserve"> </w:t>
      </w:r>
      <w:r w:rsidR="000C2BC0">
        <w:rPr>
          <w:sz w:val="24"/>
          <w:szCs w:val="24"/>
        </w:rPr>
        <w:t>in</w:t>
      </w:r>
      <w:r w:rsidR="000C2BC0" w:rsidRPr="00B35F7A">
        <w:rPr>
          <w:sz w:val="24"/>
          <w:szCs w:val="24"/>
        </w:rPr>
        <w:t xml:space="preserve"> </w:t>
      </w:r>
      <w:r w:rsidR="00B35F7A" w:rsidRPr="00B35F7A">
        <w:rPr>
          <w:sz w:val="24"/>
          <w:szCs w:val="24"/>
        </w:rPr>
        <w:t>a number of sectors, including medical technology and biotechnology.</w:t>
      </w:r>
    </w:p>
    <w:p w14:paraId="390BB0BA" w14:textId="4D6411AD" w:rsidR="00327629" w:rsidRPr="00BD6DE4" w:rsidRDefault="00A60F59" w:rsidP="009C7201">
      <w:pPr>
        <w:spacing w:before="100" w:beforeAutospacing="1" w:after="100" w:afterAutospacing="1"/>
        <w:outlineLvl w:val="2"/>
        <w:rPr>
          <w:rFonts w:eastAsia="Times New Roman"/>
          <w:szCs w:val="24"/>
          <w:lang w:eastAsia="en-GB"/>
        </w:rPr>
      </w:pPr>
      <w:r>
        <w:rPr>
          <w:rFonts w:eastAsia="Times New Roman"/>
          <w:szCs w:val="24"/>
          <w:lang w:eastAsia="en-GB"/>
        </w:rPr>
        <w:t>Among</w:t>
      </w:r>
      <w:r w:rsidR="00327629" w:rsidRPr="00BD6DE4">
        <w:rPr>
          <w:rFonts w:eastAsia="Times New Roman"/>
          <w:szCs w:val="24"/>
          <w:lang w:eastAsia="en-GB"/>
        </w:rPr>
        <w:t xml:space="preserve"> the European economies with mid-range patenting volumes, </w:t>
      </w:r>
      <w:r w:rsidR="006C6E97" w:rsidRPr="00BD6DE4">
        <w:rPr>
          <w:rFonts w:eastAsia="Times New Roman"/>
          <w:szCs w:val="24"/>
          <w:lang w:eastAsia="en-GB"/>
        </w:rPr>
        <w:t>applications from Spain (+</w:t>
      </w:r>
      <w:r w:rsidR="003C6AC5">
        <w:rPr>
          <w:rFonts w:eastAsia="Times New Roman"/>
          <w:szCs w:val="24"/>
          <w:lang w:eastAsia="en-GB"/>
        </w:rPr>
        <w:t>6</w:t>
      </w:r>
      <w:r w:rsidR="006C6E97" w:rsidRPr="00BD6DE4">
        <w:rPr>
          <w:rFonts w:eastAsia="Times New Roman"/>
          <w:szCs w:val="24"/>
          <w:lang w:eastAsia="en-GB"/>
        </w:rPr>
        <w:t>.</w:t>
      </w:r>
      <w:r w:rsidR="003C6AC5">
        <w:rPr>
          <w:rFonts w:eastAsia="Times New Roman"/>
          <w:szCs w:val="24"/>
          <w:lang w:eastAsia="en-GB"/>
        </w:rPr>
        <w:t>0</w:t>
      </w:r>
      <w:r w:rsidR="006C6E97" w:rsidRPr="00BD6DE4">
        <w:rPr>
          <w:rFonts w:eastAsia="Times New Roman"/>
          <w:szCs w:val="24"/>
          <w:lang w:eastAsia="en-GB"/>
        </w:rPr>
        <w:t>%)</w:t>
      </w:r>
      <w:r w:rsidR="008C6611" w:rsidRPr="00BD6DE4">
        <w:rPr>
          <w:rFonts w:eastAsia="Times New Roman"/>
          <w:szCs w:val="24"/>
          <w:lang w:eastAsia="en-GB"/>
        </w:rPr>
        <w:t xml:space="preserve"> grew </w:t>
      </w:r>
      <w:r>
        <w:rPr>
          <w:rFonts w:eastAsia="Times New Roman"/>
          <w:szCs w:val="24"/>
          <w:lang w:eastAsia="en-GB"/>
        </w:rPr>
        <w:t>solidly</w:t>
      </w:r>
      <w:r w:rsidR="008C6611" w:rsidRPr="00BD6DE4">
        <w:rPr>
          <w:rFonts w:eastAsia="Times New Roman"/>
          <w:szCs w:val="24"/>
          <w:lang w:eastAsia="en-GB"/>
        </w:rPr>
        <w:t>. Belgium (+3</w:t>
      </w:r>
      <w:r w:rsidR="003C6AC5">
        <w:rPr>
          <w:rFonts w:eastAsia="Times New Roman"/>
          <w:szCs w:val="24"/>
          <w:lang w:eastAsia="en-GB"/>
        </w:rPr>
        <w:t>.2</w:t>
      </w:r>
      <w:r w:rsidR="008C6611" w:rsidRPr="00BD6DE4">
        <w:rPr>
          <w:rFonts w:eastAsia="Times New Roman"/>
          <w:szCs w:val="24"/>
          <w:lang w:eastAsia="en-GB"/>
        </w:rPr>
        <w:t>%)</w:t>
      </w:r>
      <w:r w:rsidR="003C6AC5">
        <w:rPr>
          <w:rFonts w:eastAsia="Times New Roman"/>
          <w:szCs w:val="24"/>
          <w:lang w:eastAsia="en-GB"/>
        </w:rPr>
        <w:t xml:space="preserve">, </w:t>
      </w:r>
      <w:r w:rsidR="003C6AC5" w:rsidRPr="00BD6DE4">
        <w:rPr>
          <w:rFonts w:eastAsia="Times New Roman"/>
          <w:szCs w:val="24"/>
          <w:lang w:eastAsia="en-GB"/>
        </w:rPr>
        <w:t>Austria (+</w:t>
      </w:r>
      <w:r w:rsidR="003C6AC5">
        <w:rPr>
          <w:rFonts w:eastAsia="Times New Roman"/>
          <w:szCs w:val="24"/>
          <w:lang w:eastAsia="en-GB"/>
        </w:rPr>
        <w:t>2</w:t>
      </w:r>
      <w:r w:rsidR="003C6AC5" w:rsidRPr="00BD6DE4">
        <w:rPr>
          <w:rFonts w:eastAsia="Times New Roman"/>
          <w:szCs w:val="24"/>
          <w:lang w:eastAsia="en-GB"/>
        </w:rPr>
        <w:t>.</w:t>
      </w:r>
      <w:r w:rsidR="003C6AC5">
        <w:rPr>
          <w:rFonts w:eastAsia="Times New Roman"/>
          <w:szCs w:val="24"/>
          <w:lang w:eastAsia="en-GB"/>
        </w:rPr>
        <w:t>6</w:t>
      </w:r>
      <w:r w:rsidR="003C6AC5" w:rsidRPr="00BD6DE4">
        <w:rPr>
          <w:rFonts w:eastAsia="Times New Roman"/>
          <w:szCs w:val="24"/>
          <w:lang w:eastAsia="en-GB"/>
        </w:rPr>
        <w:t>%)</w:t>
      </w:r>
      <w:r w:rsidR="003C6AC5">
        <w:rPr>
          <w:rFonts w:eastAsia="Times New Roman"/>
          <w:szCs w:val="24"/>
          <w:lang w:eastAsia="en-GB"/>
        </w:rPr>
        <w:t>,</w:t>
      </w:r>
      <w:r w:rsidR="008C6611" w:rsidRPr="00BD6DE4">
        <w:rPr>
          <w:rFonts w:eastAsia="Times New Roman"/>
          <w:szCs w:val="24"/>
          <w:lang w:eastAsia="en-GB"/>
        </w:rPr>
        <w:t xml:space="preserve"> and Denmark (+</w:t>
      </w:r>
      <w:r w:rsidR="003C6AC5">
        <w:rPr>
          <w:rFonts w:eastAsia="Times New Roman"/>
          <w:szCs w:val="24"/>
          <w:lang w:eastAsia="en-GB"/>
        </w:rPr>
        <w:t>0</w:t>
      </w:r>
      <w:r w:rsidR="008C6611" w:rsidRPr="00BD6DE4">
        <w:rPr>
          <w:rFonts w:eastAsia="Times New Roman"/>
          <w:szCs w:val="24"/>
          <w:lang w:eastAsia="en-GB"/>
        </w:rPr>
        <w:t>.</w:t>
      </w:r>
      <w:r w:rsidR="003C6AC5">
        <w:rPr>
          <w:rFonts w:eastAsia="Times New Roman"/>
          <w:szCs w:val="24"/>
          <w:lang w:eastAsia="en-GB"/>
        </w:rPr>
        <w:t>8</w:t>
      </w:r>
      <w:r w:rsidR="008C6611" w:rsidRPr="00BD6DE4">
        <w:rPr>
          <w:rFonts w:eastAsia="Times New Roman"/>
          <w:szCs w:val="24"/>
          <w:lang w:eastAsia="en-GB"/>
        </w:rPr>
        <w:t>%)</w:t>
      </w:r>
      <w:r w:rsidR="003C6AC5">
        <w:rPr>
          <w:rFonts w:eastAsia="Times New Roman"/>
          <w:szCs w:val="24"/>
          <w:lang w:eastAsia="en-GB"/>
        </w:rPr>
        <w:t xml:space="preserve"> </w:t>
      </w:r>
      <w:r w:rsidR="000E5615" w:rsidRPr="00BD6DE4">
        <w:rPr>
          <w:rFonts w:eastAsia="Times New Roman"/>
          <w:szCs w:val="24"/>
          <w:lang w:eastAsia="en-GB"/>
        </w:rPr>
        <w:t xml:space="preserve">achieved similar </w:t>
      </w:r>
      <w:r w:rsidR="00253580">
        <w:rPr>
          <w:rFonts w:eastAsia="Times New Roman"/>
          <w:szCs w:val="24"/>
          <w:lang w:eastAsia="en-GB"/>
        </w:rPr>
        <w:t xml:space="preserve">filing </w:t>
      </w:r>
      <w:r w:rsidR="008C6611" w:rsidRPr="00BD6DE4">
        <w:rPr>
          <w:rFonts w:eastAsia="Times New Roman"/>
          <w:szCs w:val="24"/>
          <w:lang w:eastAsia="en-GB"/>
        </w:rPr>
        <w:t>levels to 2018</w:t>
      </w:r>
      <w:r w:rsidR="003C6AC5">
        <w:rPr>
          <w:rFonts w:eastAsia="Times New Roman"/>
          <w:szCs w:val="24"/>
          <w:lang w:eastAsia="en-GB"/>
        </w:rPr>
        <w:t>, while</w:t>
      </w:r>
      <w:r w:rsidR="00EA5685">
        <w:rPr>
          <w:rFonts w:eastAsia="Times New Roman"/>
          <w:szCs w:val="24"/>
          <w:lang w:eastAsia="en-GB"/>
        </w:rPr>
        <w:t xml:space="preserve"> </w:t>
      </w:r>
      <w:r w:rsidR="000C2BC0">
        <w:rPr>
          <w:rFonts w:eastAsia="Times New Roman"/>
          <w:szCs w:val="24"/>
          <w:lang w:eastAsia="en-GB"/>
        </w:rPr>
        <w:t xml:space="preserve">patent </w:t>
      </w:r>
      <w:r w:rsidR="00EA5685">
        <w:rPr>
          <w:rFonts w:eastAsia="Times New Roman"/>
          <w:szCs w:val="24"/>
          <w:lang w:eastAsia="en-GB"/>
        </w:rPr>
        <w:t>applications from</w:t>
      </w:r>
      <w:r w:rsidR="006E7C30">
        <w:rPr>
          <w:rFonts w:eastAsia="Times New Roman"/>
          <w:szCs w:val="24"/>
          <w:lang w:eastAsia="en-GB"/>
        </w:rPr>
        <w:t xml:space="preserve"> Finland </w:t>
      </w:r>
      <w:r w:rsidR="00EA5685">
        <w:rPr>
          <w:rFonts w:eastAsia="Times New Roman"/>
          <w:szCs w:val="24"/>
          <w:lang w:eastAsia="en-GB"/>
        </w:rPr>
        <w:t xml:space="preserve">fell </w:t>
      </w:r>
      <w:r w:rsidR="003C6AC5">
        <w:rPr>
          <w:rFonts w:eastAsia="Times New Roman"/>
          <w:szCs w:val="24"/>
          <w:lang w:eastAsia="en-GB"/>
        </w:rPr>
        <w:t>further (-1.4%)</w:t>
      </w:r>
      <w:r w:rsidR="006E7C30">
        <w:rPr>
          <w:rFonts w:eastAsia="Times New Roman"/>
          <w:szCs w:val="24"/>
          <w:lang w:eastAsia="en-GB"/>
        </w:rPr>
        <w:t xml:space="preserve">. </w:t>
      </w:r>
    </w:p>
    <w:p w14:paraId="0EE0D3E4" w14:textId="3B114597" w:rsidR="005D1B6A" w:rsidRPr="00B63292" w:rsidRDefault="00327629" w:rsidP="00327629">
      <w:pPr>
        <w:spacing w:before="100" w:beforeAutospacing="1" w:after="100" w:afterAutospacing="1"/>
        <w:rPr>
          <w:rFonts w:eastAsia="Times New Roman"/>
          <w:szCs w:val="24"/>
          <w:lang w:eastAsia="en-GB"/>
        </w:rPr>
      </w:pPr>
      <w:r w:rsidRPr="00B63292">
        <w:rPr>
          <w:rFonts w:eastAsia="Times New Roman"/>
          <w:szCs w:val="24"/>
          <w:lang w:eastAsia="en-GB"/>
        </w:rPr>
        <w:t xml:space="preserve">There </w:t>
      </w:r>
      <w:r w:rsidR="00975218" w:rsidRPr="00B63292">
        <w:rPr>
          <w:rFonts w:eastAsia="Times New Roman"/>
          <w:szCs w:val="24"/>
          <w:lang w:eastAsia="en-GB"/>
        </w:rPr>
        <w:t>were</w:t>
      </w:r>
      <w:r w:rsidRPr="00B63292">
        <w:rPr>
          <w:rFonts w:eastAsia="Times New Roman"/>
          <w:szCs w:val="24"/>
          <w:lang w:eastAsia="en-GB"/>
        </w:rPr>
        <w:t xml:space="preserve"> also </w:t>
      </w:r>
      <w:r w:rsidR="00C8799F" w:rsidRPr="00B63292">
        <w:rPr>
          <w:rFonts w:eastAsia="Times New Roman"/>
          <w:szCs w:val="24"/>
          <w:lang w:eastAsia="en-GB"/>
        </w:rPr>
        <w:t xml:space="preserve">significant </w:t>
      </w:r>
      <w:r w:rsidR="00975218" w:rsidRPr="00B63292">
        <w:rPr>
          <w:rFonts w:eastAsia="Times New Roman"/>
          <w:szCs w:val="24"/>
          <w:lang w:eastAsia="en-GB"/>
        </w:rPr>
        <w:t>increases</w:t>
      </w:r>
      <w:r w:rsidRPr="00B63292">
        <w:rPr>
          <w:rFonts w:eastAsia="Times New Roman"/>
          <w:szCs w:val="24"/>
          <w:lang w:eastAsia="en-GB"/>
        </w:rPr>
        <w:t xml:space="preserve"> from countries with smaller patenting volumes</w:t>
      </w:r>
      <w:r w:rsidR="002C1C6F" w:rsidRPr="00B63292">
        <w:rPr>
          <w:rFonts w:eastAsia="Times New Roman"/>
          <w:szCs w:val="24"/>
          <w:lang w:eastAsia="en-GB"/>
        </w:rPr>
        <w:t>, such as</w:t>
      </w:r>
      <w:r w:rsidRPr="00B63292">
        <w:rPr>
          <w:rFonts w:eastAsia="Times New Roman"/>
          <w:szCs w:val="24"/>
          <w:lang w:eastAsia="en-GB"/>
        </w:rPr>
        <w:t xml:space="preserve"> Ireland </w:t>
      </w:r>
      <w:r w:rsidR="002C1C6F" w:rsidRPr="00B63292">
        <w:rPr>
          <w:rFonts w:eastAsia="Times New Roman"/>
          <w:szCs w:val="24"/>
          <w:lang w:eastAsia="en-GB"/>
        </w:rPr>
        <w:t>(+</w:t>
      </w:r>
      <w:r w:rsidR="003C6AC5" w:rsidRPr="00B63292">
        <w:rPr>
          <w:rFonts w:eastAsia="Times New Roman"/>
          <w:szCs w:val="24"/>
          <w:lang w:eastAsia="en-GB"/>
        </w:rPr>
        <w:t>6</w:t>
      </w:r>
      <w:r w:rsidRPr="00B63292">
        <w:rPr>
          <w:rFonts w:eastAsia="Times New Roman"/>
          <w:szCs w:val="24"/>
          <w:lang w:eastAsia="en-GB"/>
        </w:rPr>
        <w:t>.</w:t>
      </w:r>
      <w:r w:rsidR="003C6AC5" w:rsidRPr="00B63292">
        <w:rPr>
          <w:rFonts w:eastAsia="Times New Roman"/>
          <w:szCs w:val="24"/>
          <w:lang w:eastAsia="en-GB"/>
        </w:rPr>
        <w:t>3</w:t>
      </w:r>
      <w:r w:rsidRPr="00B63292">
        <w:rPr>
          <w:rFonts w:eastAsia="Times New Roman"/>
          <w:szCs w:val="24"/>
          <w:lang w:eastAsia="en-GB"/>
        </w:rPr>
        <w:t>%</w:t>
      </w:r>
      <w:r w:rsidR="002C1C6F" w:rsidRPr="00B63292">
        <w:rPr>
          <w:rFonts w:eastAsia="Times New Roman"/>
          <w:szCs w:val="24"/>
          <w:lang w:eastAsia="en-GB"/>
        </w:rPr>
        <w:t xml:space="preserve">) and </w:t>
      </w:r>
      <w:r w:rsidR="00C8799F" w:rsidRPr="00B63292">
        <w:rPr>
          <w:rFonts w:eastAsia="Times New Roman"/>
          <w:szCs w:val="24"/>
          <w:lang w:eastAsia="en-GB"/>
        </w:rPr>
        <w:t>Norway</w:t>
      </w:r>
      <w:r w:rsidR="002C1C6F" w:rsidRPr="00B63292">
        <w:rPr>
          <w:rFonts w:eastAsia="Times New Roman"/>
          <w:szCs w:val="24"/>
          <w:lang w:eastAsia="en-GB"/>
        </w:rPr>
        <w:t xml:space="preserve"> (+</w:t>
      </w:r>
      <w:r w:rsidR="003C6AC5" w:rsidRPr="00B63292">
        <w:rPr>
          <w:rFonts w:eastAsia="Times New Roman"/>
          <w:szCs w:val="24"/>
          <w:lang w:eastAsia="en-GB"/>
        </w:rPr>
        <w:t>3.</w:t>
      </w:r>
      <w:r w:rsidRPr="00B63292">
        <w:rPr>
          <w:rFonts w:eastAsia="Times New Roman"/>
          <w:szCs w:val="24"/>
          <w:lang w:eastAsia="en-GB"/>
        </w:rPr>
        <w:t>6%</w:t>
      </w:r>
      <w:r w:rsidR="002C1C6F" w:rsidRPr="00B63292">
        <w:rPr>
          <w:rFonts w:eastAsia="Times New Roman"/>
          <w:szCs w:val="24"/>
          <w:lang w:eastAsia="en-GB"/>
        </w:rPr>
        <w:t xml:space="preserve">). </w:t>
      </w:r>
      <w:r w:rsidR="006E7C30" w:rsidRPr="00B63292">
        <w:rPr>
          <w:rFonts w:eastAsia="Times New Roman"/>
          <w:szCs w:val="24"/>
          <w:lang w:eastAsia="en-GB"/>
        </w:rPr>
        <w:t>Portugal (+</w:t>
      </w:r>
      <w:r w:rsidR="003C6AC5" w:rsidRPr="00B63292">
        <w:rPr>
          <w:rFonts w:eastAsia="Times New Roman"/>
          <w:szCs w:val="24"/>
          <w:lang w:eastAsia="en-GB"/>
        </w:rPr>
        <w:t>23.1</w:t>
      </w:r>
      <w:r w:rsidR="006E7C30" w:rsidRPr="00B63292">
        <w:rPr>
          <w:rFonts w:eastAsia="Times New Roman"/>
          <w:szCs w:val="24"/>
          <w:lang w:eastAsia="en-GB"/>
        </w:rPr>
        <w:t xml:space="preserve">%) </w:t>
      </w:r>
      <w:r w:rsidR="002C1C6F" w:rsidRPr="00B63292">
        <w:rPr>
          <w:rFonts w:eastAsia="Times New Roman"/>
          <w:szCs w:val="24"/>
          <w:lang w:eastAsia="en-GB"/>
        </w:rPr>
        <w:t xml:space="preserve">and Greece </w:t>
      </w:r>
      <w:r w:rsidR="002C1C6F" w:rsidRPr="00B63292">
        <w:rPr>
          <w:rFonts w:eastAsia="Times New Roman"/>
          <w:szCs w:val="24"/>
          <w:lang w:eastAsia="en-GB"/>
        </w:rPr>
        <w:lastRenderedPageBreak/>
        <w:t>(+15</w:t>
      </w:r>
      <w:r w:rsidR="003C6AC5" w:rsidRPr="00B63292">
        <w:rPr>
          <w:rFonts w:eastAsia="Times New Roman"/>
          <w:szCs w:val="24"/>
          <w:lang w:eastAsia="en-GB"/>
        </w:rPr>
        <w:t>.8</w:t>
      </w:r>
      <w:r w:rsidR="002C1C6F" w:rsidRPr="00B63292">
        <w:rPr>
          <w:rFonts w:eastAsia="Times New Roman"/>
          <w:szCs w:val="24"/>
          <w:lang w:eastAsia="en-GB"/>
        </w:rPr>
        <w:t xml:space="preserve">%) </w:t>
      </w:r>
      <w:r w:rsidR="006E7C30" w:rsidRPr="00B63292">
        <w:rPr>
          <w:rFonts w:eastAsia="Times New Roman"/>
          <w:szCs w:val="24"/>
          <w:lang w:eastAsia="en-GB"/>
        </w:rPr>
        <w:t xml:space="preserve">also both saw </w:t>
      </w:r>
      <w:r w:rsidR="002C1C6F" w:rsidRPr="00B63292">
        <w:rPr>
          <w:rFonts w:eastAsia="Times New Roman"/>
          <w:szCs w:val="24"/>
          <w:lang w:eastAsia="en-GB"/>
        </w:rPr>
        <w:t>their third</w:t>
      </w:r>
      <w:r w:rsidR="006E7C30" w:rsidRPr="00B63292">
        <w:rPr>
          <w:rFonts w:eastAsia="Times New Roman"/>
          <w:szCs w:val="24"/>
          <w:lang w:eastAsia="en-GB"/>
        </w:rPr>
        <w:t xml:space="preserve"> year of consecutive growth</w:t>
      </w:r>
      <w:r w:rsidR="00EA5685" w:rsidRPr="00B63292">
        <w:rPr>
          <w:rFonts w:eastAsia="Times New Roman"/>
          <w:szCs w:val="24"/>
          <w:lang w:eastAsia="en-GB"/>
        </w:rPr>
        <w:t>, albeit from a smaller base</w:t>
      </w:r>
      <w:r w:rsidR="006E7C30" w:rsidRPr="00B63292">
        <w:rPr>
          <w:rFonts w:eastAsia="Times New Roman"/>
          <w:szCs w:val="24"/>
          <w:lang w:eastAsia="en-GB"/>
        </w:rPr>
        <w:t xml:space="preserve">. </w:t>
      </w:r>
    </w:p>
    <w:p w14:paraId="6E9C7E34" w14:textId="3D26FAF0" w:rsidR="00327629" w:rsidRPr="00B63292" w:rsidRDefault="00C9045E" w:rsidP="00327629">
      <w:pPr>
        <w:spacing w:before="100" w:beforeAutospacing="1" w:after="100" w:afterAutospacing="1"/>
        <w:outlineLvl w:val="2"/>
        <w:rPr>
          <w:rFonts w:eastAsia="Times New Roman"/>
          <w:b/>
          <w:bCs/>
          <w:sz w:val="27"/>
          <w:szCs w:val="27"/>
          <w:lang w:eastAsia="en-GB"/>
        </w:rPr>
      </w:pPr>
      <w:r w:rsidRPr="00B63292">
        <w:rPr>
          <w:rFonts w:eastAsia="Times New Roman"/>
          <w:b/>
          <w:bCs/>
          <w:sz w:val="27"/>
          <w:szCs w:val="27"/>
          <w:lang w:eastAsia="en-GB"/>
        </w:rPr>
        <w:t xml:space="preserve">Huawei </w:t>
      </w:r>
      <w:r w:rsidR="00327629" w:rsidRPr="00B63292">
        <w:rPr>
          <w:rFonts w:eastAsia="Times New Roman"/>
          <w:b/>
          <w:bCs/>
          <w:sz w:val="27"/>
          <w:szCs w:val="27"/>
          <w:lang w:eastAsia="en-GB"/>
        </w:rPr>
        <w:t xml:space="preserve">heads list of applicants </w:t>
      </w:r>
    </w:p>
    <w:p w14:paraId="67A005C3" w14:textId="4F161A73" w:rsidR="00327629" w:rsidRDefault="001860AD" w:rsidP="00327629">
      <w:pPr>
        <w:spacing w:before="100" w:beforeAutospacing="1" w:after="100" w:afterAutospacing="1"/>
        <w:rPr>
          <w:rFonts w:eastAsia="Times New Roman"/>
          <w:szCs w:val="24"/>
          <w:lang w:eastAsia="en-GB"/>
        </w:rPr>
      </w:pPr>
      <w:r w:rsidRPr="00B63292">
        <w:rPr>
          <w:rFonts w:eastAsia="Times New Roman"/>
          <w:szCs w:val="24"/>
          <w:lang w:eastAsia="en-GB"/>
        </w:rPr>
        <w:t xml:space="preserve">The </w:t>
      </w:r>
      <w:r w:rsidR="00E32409" w:rsidRPr="00B63292">
        <w:rPr>
          <w:rFonts w:eastAsia="Times New Roman"/>
          <w:szCs w:val="24"/>
          <w:lang w:eastAsia="en-GB"/>
        </w:rPr>
        <w:t xml:space="preserve">company ranking also </w:t>
      </w:r>
      <w:r w:rsidR="00D3624C" w:rsidRPr="00B63292">
        <w:rPr>
          <w:rFonts w:eastAsia="Times New Roman"/>
          <w:szCs w:val="24"/>
          <w:lang w:eastAsia="en-GB"/>
        </w:rPr>
        <w:t xml:space="preserve">reflects </w:t>
      </w:r>
      <w:r w:rsidR="00E32409" w:rsidRPr="00B63292">
        <w:rPr>
          <w:rFonts w:eastAsia="Times New Roman"/>
          <w:szCs w:val="24"/>
          <w:lang w:eastAsia="en-GB"/>
        </w:rPr>
        <w:t xml:space="preserve">the </w:t>
      </w:r>
      <w:r w:rsidR="00FD351E" w:rsidRPr="00B63292">
        <w:rPr>
          <w:rFonts w:eastAsia="Times New Roman"/>
          <w:szCs w:val="24"/>
          <w:lang w:eastAsia="en-GB"/>
        </w:rPr>
        <w:t>rapidly</w:t>
      </w:r>
      <w:r w:rsidR="00C568C5" w:rsidRPr="00B63292">
        <w:rPr>
          <w:rFonts w:eastAsia="Times New Roman"/>
          <w:szCs w:val="24"/>
          <w:lang w:eastAsia="en-GB"/>
        </w:rPr>
        <w:t xml:space="preserve"> </w:t>
      </w:r>
      <w:r w:rsidR="00D3624C" w:rsidRPr="00B63292">
        <w:rPr>
          <w:rFonts w:eastAsia="Times New Roman"/>
          <w:szCs w:val="24"/>
          <w:lang w:eastAsia="en-GB"/>
        </w:rPr>
        <w:t>growing</w:t>
      </w:r>
      <w:r w:rsidRPr="00B63292">
        <w:rPr>
          <w:rFonts w:eastAsia="Times New Roman"/>
          <w:szCs w:val="24"/>
          <w:lang w:eastAsia="en-GB"/>
        </w:rPr>
        <w:t xml:space="preserve"> </w:t>
      </w:r>
      <w:r w:rsidR="00054A6D" w:rsidRPr="00B63292">
        <w:rPr>
          <w:rFonts w:eastAsia="Times New Roman"/>
          <w:szCs w:val="24"/>
          <w:lang w:eastAsia="en-GB"/>
        </w:rPr>
        <w:t xml:space="preserve">importance of </w:t>
      </w:r>
      <w:r w:rsidRPr="00B63292">
        <w:rPr>
          <w:rFonts w:eastAsia="Times New Roman"/>
          <w:szCs w:val="24"/>
          <w:lang w:eastAsia="en-GB"/>
        </w:rPr>
        <w:t xml:space="preserve">digital </w:t>
      </w:r>
      <w:r w:rsidR="00E32409" w:rsidRPr="00B63292">
        <w:rPr>
          <w:rFonts w:eastAsia="Times New Roman"/>
          <w:szCs w:val="24"/>
          <w:lang w:eastAsia="en-GB"/>
        </w:rPr>
        <w:t>technolog</w:t>
      </w:r>
      <w:r w:rsidR="00C75BA2" w:rsidRPr="00B63292">
        <w:rPr>
          <w:rFonts w:eastAsia="Times New Roman"/>
          <w:szCs w:val="24"/>
          <w:lang w:eastAsia="en-GB"/>
        </w:rPr>
        <w:t>ies</w:t>
      </w:r>
      <w:r w:rsidR="00E32409" w:rsidRPr="00B63292">
        <w:rPr>
          <w:rFonts w:eastAsia="Times New Roman"/>
          <w:szCs w:val="24"/>
          <w:lang w:eastAsia="en-GB"/>
        </w:rPr>
        <w:t>.</w:t>
      </w:r>
      <w:r w:rsidRPr="00B63292">
        <w:rPr>
          <w:rFonts w:eastAsia="Times New Roman"/>
          <w:szCs w:val="24"/>
          <w:lang w:eastAsia="en-GB"/>
        </w:rPr>
        <w:t xml:space="preserve"> </w:t>
      </w:r>
      <w:r w:rsidR="00A96D48" w:rsidRPr="00B63292">
        <w:rPr>
          <w:rFonts w:eastAsia="Times New Roman"/>
          <w:szCs w:val="24"/>
          <w:lang w:eastAsia="en-GB"/>
        </w:rPr>
        <w:t xml:space="preserve">Huawei </w:t>
      </w:r>
      <w:r w:rsidR="00030C00" w:rsidRPr="00B63292">
        <w:rPr>
          <w:rFonts w:eastAsia="Times New Roman"/>
          <w:szCs w:val="24"/>
          <w:lang w:eastAsia="en-GB"/>
        </w:rPr>
        <w:t xml:space="preserve">topped </w:t>
      </w:r>
      <w:r w:rsidR="00A96D48" w:rsidRPr="00B63292">
        <w:rPr>
          <w:rFonts w:eastAsia="Times New Roman"/>
          <w:szCs w:val="24"/>
          <w:lang w:eastAsia="en-GB"/>
        </w:rPr>
        <w:t xml:space="preserve">the table of </w:t>
      </w:r>
      <w:r w:rsidR="00327629" w:rsidRPr="00B63292">
        <w:rPr>
          <w:rFonts w:eastAsia="Times New Roman"/>
          <w:szCs w:val="24"/>
          <w:lang w:eastAsia="en-GB"/>
        </w:rPr>
        <w:t>patent applicant</w:t>
      </w:r>
      <w:r w:rsidR="00A96D48" w:rsidRPr="00B63292">
        <w:rPr>
          <w:rFonts w:eastAsia="Times New Roman"/>
          <w:szCs w:val="24"/>
          <w:lang w:eastAsia="en-GB"/>
        </w:rPr>
        <w:t>s</w:t>
      </w:r>
      <w:r w:rsidR="00327629" w:rsidRPr="00B63292">
        <w:rPr>
          <w:rFonts w:eastAsia="Times New Roman"/>
          <w:szCs w:val="24"/>
          <w:lang w:eastAsia="en-GB"/>
        </w:rPr>
        <w:t xml:space="preserve"> at the EPO in 201</w:t>
      </w:r>
      <w:r w:rsidR="00A96D48" w:rsidRPr="00B63292">
        <w:rPr>
          <w:rFonts w:eastAsia="Times New Roman"/>
          <w:szCs w:val="24"/>
          <w:lang w:eastAsia="en-GB"/>
        </w:rPr>
        <w:t>9</w:t>
      </w:r>
      <w:r w:rsidR="00327629" w:rsidRPr="00B63292">
        <w:rPr>
          <w:rFonts w:eastAsia="Times New Roman"/>
          <w:szCs w:val="24"/>
          <w:lang w:eastAsia="en-GB"/>
        </w:rPr>
        <w:t xml:space="preserve"> with </w:t>
      </w:r>
      <w:r w:rsidR="003C6AC5" w:rsidRPr="00B63292">
        <w:rPr>
          <w:rFonts w:eastAsia="Times New Roman"/>
          <w:szCs w:val="24"/>
          <w:lang w:eastAsia="en-GB"/>
        </w:rPr>
        <w:t>3</w:t>
      </w:r>
      <w:r w:rsidR="00A86096">
        <w:rPr>
          <w:rFonts w:eastAsia="Times New Roman"/>
          <w:szCs w:val="24"/>
          <w:lang w:eastAsia="en-GB"/>
        </w:rPr>
        <w:t> </w:t>
      </w:r>
      <w:r w:rsidR="003C6AC5" w:rsidRPr="00B63292">
        <w:rPr>
          <w:rFonts w:eastAsia="Times New Roman"/>
          <w:szCs w:val="24"/>
          <w:lang w:eastAsia="en-GB"/>
        </w:rPr>
        <w:t>524</w:t>
      </w:r>
      <w:r w:rsidR="00A96D48" w:rsidRPr="00B63292">
        <w:rPr>
          <w:rFonts w:eastAsia="Times New Roman"/>
          <w:szCs w:val="24"/>
          <w:lang w:eastAsia="en-GB"/>
        </w:rPr>
        <w:t xml:space="preserve"> </w:t>
      </w:r>
      <w:r w:rsidR="00327629" w:rsidRPr="00B63292">
        <w:rPr>
          <w:rFonts w:eastAsia="Times New Roman"/>
          <w:szCs w:val="24"/>
          <w:lang w:eastAsia="en-GB"/>
        </w:rPr>
        <w:t xml:space="preserve">applications. </w:t>
      </w:r>
      <w:r w:rsidR="00201FED" w:rsidRPr="00B63292">
        <w:rPr>
          <w:rFonts w:eastAsia="Times New Roman"/>
          <w:szCs w:val="24"/>
          <w:lang w:eastAsia="en-GB"/>
        </w:rPr>
        <w:t xml:space="preserve">Samsung </w:t>
      </w:r>
      <w:r w:rsidR="00030C00" w:rsidRPr="00B63292">
        <w:rPr>
          <w:rFonts w:eastAsia="Times New Roman"/>
          <w:szCs w:val="24"/>
          <w:lang w:eastAsia="en-GB"/>
        </w:rPr>
        <w:t xml:space="preserve">moved up to </w:t>
      </w:r>
      <w:r w:rsidR="00201FED" w:rsidRPr="00B63292">
        <w:rPr>
          <w:rFonts w:eastAsia="Times New Roman"/>
          <w:szCs w:val="24"/>
          <w:lang w:eastAsia="en-GB"/>
        </w:rPr>
        <w:t xml:space="preserve">second place and LG </w:t>
      </w:r>
      <w:r w:rsidR="00C3065B" w:rsidRPr="00B63292">
        <w:rPr>
          <w:rFonts w:eastAsia="Times New Roman"/>
          <w:szCs w:val="24"/>
          <w:lang w:eastAsia="en-GB"/>
        </w:rPr>
        <w:t xml:space="preserve">gained </w:t>
      </w:r>
      <w:r w:rsidR="00E82454" w:rsidRPr="00B63292">
        <w:rPr>
          <w:rFonts w:eastAsia="Times New Roman"/>
          <w:szCs w:val="24"/>
          <w:lang w:eastAsia="en-GB"/>
        </w:rPr>
        <w:t xml:space="preserve">a </w:t>
      </w:r>
      <w:r w:rsidR="00201FED" w:rsidRPr="00B63292">
        <w:rPr>
          <w:rFonts w:eastAsia="Times New Roman"/>
          <w:szCs w:val="24"/>
          <w:lang w:eastAsia="en-GB"/>
        </w:rPr>
        <w:t xml:space="preserve">position to </w:t>
      </w:r>
      <w:r w:rsidR="00E82454" w:rsidRPr="00B63292">
        <w:rPr>
          <w:rFonts w:eastAsia="Times New Roman"/>
          <w:szCs w:val="24"/>
          <w:lang w:eastAsia="en-GB"/>
        </w:rPr>
        <w:t xml:space="preserve">take </w:t>
      </w:r>
      <w:r w:rsidR="00201FED" w:rsidRPr="00B63292">
        <w:rPr>
          <w:rFonts w:eastAsia="Times New Roman"/>
          <w:szCs w:val="24"/>
          <w:lang w:eastAsia="en-GB"/>
        </w:rPr>
        <w:t>third</w:t>
      </w:r>
      <w:r w:rsidR="00E82454" w:rsidRPr="00B63292">
        <w:rPr>
          <w:rFonts w:eastAsia="Times New Roman"/>
          <w:szCs w:val="24"/>
          <w:lang w:eastAsia="en-GB"/>
        </w:rPr>
        <w:t xml:space="preserve">. The two South Korean </w:t>
      </w:r>
      <w:r w:rsidR="00DD3F15" w:rsidRPr="00B63292">
        <w:rPr>
          <w:rFonts w:eastAsia="Times New Roman"/>
          <w:szCs w:val="24"/>
          <w:lang w:eastAsia="en-GB"/>
        </w:rPr>
        <w:t xml:space="preserve">firms </w:t>
      </w:r>
      <w:r w:rsidR="00C3065B" w:rsidRPr="00B63292">
        <w:rPr>
          <w:rFonts w:eastAsia="Times New Roman"/>
          <w:szCs w:val="24"/>
          <w:lang w:eastAsia="en-GB"/>
        </w:rPr>
        <w:t xml:space="preserve">were </w:t>
      </w:r>
      <w:r w:rsidR="00E82454" w:rsidRPr="00B63292">
        <w:rPr>
          <w:rFonts w:eastAsia="Times New Roman"/>
          <w:szCs w:val="24"/>
          <w:lang w:eastAsia="en-GB"/>
        </w:rPr>
        <w:t>followed by</w:t>
      </w:r>
      <w:r w:rsidR="003C6AC5" w:rsidRPr="00B63292">
        <w:rPr>
          <w:rFonts w:eastAsia="Times New Roman"/>
          <w:szCs w:val="24"/>
          <w:lang w:eastAsia="en-GB"/>
        </w:rPr>
        <w:t xml:space="preserve"> </w:t>
      </w:r>
      <w:r w:rsidR="004F051E" w:rsidRPr="00B63292">
        <w:rPr>
          <w:rFonts w:eastAsia="Times New Roman"/>
          <w:szCs w:val="24"/>
          <w:lang w:eastAsia="en-GB"/>
        </w:rPr>
        <w:t xml:space="preserve">US company </w:t>
      </w:r>
      <w:r w:rsidR="003C6AC5" w:rsidRPr="00B63292">
        <w:rPr>
          <w:rFonts w:eastAsia="Times New Roman"/>
          <w:szCs w:val="24"/>
          <w:lang w:eastAsia="en-GB"/>
        </w:rPr>
        <w:t>United Technologies and</w:t>
      </w:r>
      <w:r w:rsidR="00E82454" w:rsidRPr="00B63292">
        <w:rPr>
          <w:rFonts w:eastAsia="Times New Roman"/>
          <w:szCs w:val="24"/>
          <w:lang w:eastAsia="en-GB"/>
        </w:rPr>
        <w:t xml:space="preserve"> </w:t>
      </w:r>
      <w:r w:rsidR="00F40BF6" w:rsidRPr="00B63292">
        <w:rPr>
          <w:rFonts w:eastAsia="Times New Roman"/>
          <w:szCs w:val="24"/>
          <w:lang w:eastAsia="en-GB"/>
        </w:rPr>
        <w:t>the top applicant of 2018,</w:t>
      </w:r>
      <w:r w:rsidR="00E82454" w:rsidRPr="00B63292">
        <w:rPr>
          <w:rFonts w:eastAsia="Times New Roman"/>
          <w:szCs w:val="24"/>
          <w:lang w:eastAsia="en-GB"/>
        </w:rPr>
        <w:t xml:space="preserve"> Siemens</w:t>
      </w:r>
      <w:r w:rsidR="00F40BF6" w:rsidRPr="00B63292">
        <w:rPr>
          <w:rFonts w:eastAsia="Times New Roman"/>
          <w:szCs w:val="24"/>
          <w:lang w:eastAsia="en-GB"/>
        </w:rPr>
        <w:t xml:space="preserve"> at No.5.</w:t>
      </w:r>
      <w:r w:rsidR="004E2441" w:rsidRPr="00B63292">
        <w:rPr>
          <w:rFonts w:eastAsia="Times New Roman"/>
          <w:i/>
          <w:szCs w:val="24"/>
          <w:lang w:eastAsia="en-GB"/>
        </w:rPr>
        <w:t xml:space="preserve"> </w:t>
      </w:r>
      <w:r w:rsidR="004E2441" w:rsidRPr="00B63292">
        <w:rPr>
          <w:rFonts w:eastAsia="Times New Roman"/>
          <w:szCs w:val="24"/>
          <w:lang w:eastAsia="en-GB"/>
        </w:rPr>
        <w:t>Sony is Japan’s highest ranking applicant (jumping from 11</w:t>
      </w:r>
      <w:r w:rsidR="004E2441" w:rsidRPr="00B63292">
        <w:rPr>
          <w:rFonts w:eastAsia="Times New Roman"/>
          <w:szCs w:val="24"/>
          <w:vertAlign w:val="superscript"/>
          <w:lang w:eastAsia="en-GB"/>
        </w:rPr>
        <w:t>th</w:t>
      </w:r>
      <w:r w:rsidR="004E2441" w:rsidRPr="00B63292">
        <w:rPr>
          <w:rFonts w:eastAsia="Times New Roman"/>
          <w:szCs w:val="24"/>
          <w:lang w:eastAsia="en-GB"/>
        </w:rPr>
        <w:t xml:space="preserve"> to 9</w:t>
      </w:r>
      <w:r w:rsidR="004E2441" w:rsidRPr="00B63292">
        <w:rPr>
          <w:rFonts w:eastAsia="Times New Roman"/>
          <w:szCs w:val="24"/>
          <w:vertAlign w:val="superscript"/>
          <w:lang w:eastAsia="en-GB"/>
        </w:rPr>
        <w:t>th</w:t>
      </w:r>
      <w:r w:rsidR="004E2441" w:rsidRPr="00B63292">
        <w:rPr>
          <w:rFonts w:eastAsia="Times New Roman"/>
          <w:szCs w:val="24"/>
          <w:lang w:eastAsia="en-GB"/>
        </w:rPr>
        <w:t>), while Ericsson (mov</w:t>
      </w:r>
      <w:r w:rsidR="00DD3F15" w:rsidRPr="00B63292">
        <w:rPr>
          <w:rFonts w:eastAsia="Times New Roman"/>
          <w:szCs w:val="24"/>
          <w:lang w:eastAsia="en-GB"/>
        </w:rPr>
        <w:t>ing</w:t>
      </w:r>
      <w:r w:rsidR="004E2441" w:rsidRPr="00B63292">
        <w:rPr>
          <w:rFonts w:eastAsia="Times New Roman"/>
          <w:szCs w:val="24"/>
          <w:lang w:eastAsia="en-GB"/>
        </w:rPr>
        <w:t xml:space="preserve"> up to 7</w:t>
      </w:r>
      <w:r w:rsidR="00C3065B" w:rsidRPr="00B63292">
        <w:rPr>
          <w:rFonts w:eastAsia="Times New Roman"/>
          <w:szCs w:val="24"/>
          <w:vertAlign w:val="superscript"/>
          <w:lang w:eastAsia="en-GB"/>
        </w:rPr>
        <w:t>th</w:t>
      </w:r>
      <w:r w:rsidR="004E2441" w:rsidRPr="00B63292">
        <w:rPr>
          <w:rFonts w:eastAsia="Times New Roman"/>
          <w:szCs w:val="24"/>
          <w:lang w:eastAsia="en-GB"/>
        </w:rPr>
        <w:t xml:space="preserve">), Philips and </w:t>
      </w:r>
      <w:r w:rsidR="00F40BF6" w:rsidRPr="00B63292">
        <w:rPr>
          <w:rFonts w:eastAsia="Times New Roman"/>
          <w:szCs w:val="24"/>
          <w:lang w:eastAsia="en-GB"/>
        </w:rPr>
        <w:t xml:space="preserve">Robert </w:t>
      </w:r>
      <w:r w:rsidR="004E2441" w:rsidRPr="00B63292">
        <w:rPr>
          <w:rFonts w:eastAsia="Times New Roman"/>
          <w:szCs w:val="24"/>
          <w:lang w:eastAsia="en-GB"/>
        </w:rPr>
        <w:t xml:space="preserve">Bosch ensure that European companies account for the majority of </w:t>
      </w:r>
      <w:r w:rsidR="00A04035" w:rsidRPr="00B63292">
        <w:rPr>
          <w:rFonts w:eastAsia="Times New Roman"/>
          <w:szCs w:val="24"/>
          <w:lang w:eastAsia="en-GB"/>
        </w:rPr>
        <w:t xml:space="preserve">the applicants </w:t>
      </w:r>
      <w:r w:rsidR="004E2441" w:rsidRPr="00B63292">
        <w:rPr>
          <w:rFonts w:eastAsia="Times New Roman"/>
          <w:szCs w:val="24"/>
          <w:lang w:eastAsia="en-GB"/>
        </w:rPr>
        <w:t xml:space="preserve">in the </w:t>
      </w:r>
      <w:r w:rsidRPr="00B63292">
        <w:rPr>
          <w:rFonts w:eastAsia="Times New Roman"/>
          <w:szCs w:val="24"/>
          <w:lang w:eastAsia="en-GB"/>
        </w:rPr>
        <w:t>ranking</w:t>
      </w:r>
      <w:r w:rsidR="00D3624C" w:rsidRPr="00B63292">
        <w:rPr>
          <w:rFonts w:eastAsia="Times New Roman"/>
          <w:szCs w:val="24"/>
          <w:lang w:eastAsia="en-GB"/>
        </w:rPr>
        <w:t xml:space="preserve">: </w:t>
      </w:r>
      <w:r w:rsidR="004F051E" w:rsidRPr="00B63292">
        <w:rPr>
          <w:rFonts w:eastAsia="Times New Roman"/>
          <w:szCs w:val="24"/>
          <w:lang w:eastAsia="en-GB"/>
        </w:rPr>
        <w:t>The top 10 includes four companies from Europe, two from South Korea, two from the US, and one from each of China and Japan.</w:t>
      </w:r>
      <w:r w:rsidR="004F051E">
        <w:rPr>
          <w:rFonts w:eastAsia="Times New Roman"/>
          <w:szCs w:val="24"/>
          <w:lang w:eastAsia="en-GB"/>
        </w:rPr>
        <w:t xml:space="preserve"> </w:t>
      </w:r>
    </w:p>
    <w:p w14:paraId="79B3F3BD" w14:textId="5E98B988" w:rsidR="00C75BA2" w:rsidRPr="00BD6DE4" w:rsidRDefault="00D23D8F" w:rsidP="00327629">
      <w:pPr>
        <w:spacing w:before="100" w:beforeAutospacing="1" w:after="100" w:afterAutospacing="1"/>
        <w:rPr>
          <w:rFonts w:eastAsia="Times New Roman"/>
          <w:szCs w:val="24"/>
          <w:lang w:eastAsia="en-GB"/>
        </w:rPr>
      </w:pPr>
      <w:r w:rsidRPr="00BC6348">
        <w:rPr>
          <w:rFonts w:eastAsia="Times New Roman"/>
          <w:noProof/>
          <w:szCs w:val="24"/>
          <w:lang w:eastAsia="en-GB"/>
        </w:rPr>
        <w:drawing>
          <wp:inline distT="0" distB="0" distL="0" distR="0" wp14:anchorId="24128108" wp14:editId="74ECD596">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396" cy="3429297"/>
                    </a:xfrm>
                    <a:prstGeom prst="rect">
                      <a:avLst/>
                    </a:prstGeom>
                  </pic:spPr>
                </pic:pic>
              </a:graphicData>
            </a:graphic>
          </wp:inline>
        </w:drawing>
      </w:r>
    </w:p>
    <w:p w14:paraId="770B125E" w14:textId="32716988" w:rsidR="00327629" w:rsidRPr="00B63292" w:rsidRDefault="00327629" w:rsidP="00E32409">
      <w:pPr>
        <w:spacing w:before="100" w:beforeAutospacing="1" w:after="100" w:afterAutospacing="1"/>
        <w:outlineLvl w:val="2"/>
      </w:pPr>
      <w:r w:rsidRPr="00BD6DE4">
        <w:rPr>
          <w:rFonts w:eastAsia="Times New Roman"/>
          <w:b/>
          <w:bCs/>
          <w:sz w:val="27"/>
          <w:szCs w:val="27"/>
          <w:lang w:eastAsia="en-GB"/>
        </w:rPr>
        <w:t>Every fifth application at the EPO filed by an SME</w:t>
      </w:r>
      <w:r w:rsidR="00E32409">
        <w:rPr>
          <w:rFonts w:eastAsia="Times New Roman"/>
          <w:b/>
          <w:bCs/>
          <w:sz w:val="27"/>
          <w:szCs w:val="27"/>
          <w:lang w:eastAsia="en-GB"/>
        </w:rPr>
        <w:br/>
      </w:r>
      <w:r w:rsidR="00E32409">
        <w:rPr>
          <w:rFonts w:eastAsia="Times New Roman"/>
          <w:b/>
          <w:bCs/>
          <w:sz w:val="27"/>
          <w:szCs w:val="27"/>
          <w:lang w:eastAsia="en-GB"/>
        </w:rPr>
        <w:br/>
      </w:r>
      <w:r w:rsidRPr="00BD6DE4">
        <w:rPr>
          <w:rFonts w:eastAsia="Times New Roman"/>
          <w:szCs w:val="24"/>
          <w:lang w:eastAsia="en-GB"/>
        </w:rPr>
        <w:t>A breakdown of applications originating from European countries shows that 7</w:t>
      </w:r>
      <w:r w:rsidR="00CA560D">
        <w:rPr>
          <w:rFonts w:eastAsia="Times New Roman"/>
          <w:szCs w:val="24"/>
          <w:lang w:eastAsia="en-GB"/>
        </w:rPr>
        <w:t>2</w:t>
      </w:r>
      <w:r w:rsidRPr="00BD6DE4">
        <w:rPr>
          <w:rFonts w:eastAsia="Times New Roman"/>
          <w:szCs w:val="24"/>
          <w:lang w:eastAsia="en-GB"/>
        </w:rPr>
        <w:t xml:space="preserve">% of them were filed by large companies, </w:t>
      </w:r>
      <w:r w:rsidR="00CA560D">
        <w:rPr>
          <w:rFonts w:eastAsia="Times New Roman"/>
          <w:szCs w:val="24"/>
          <w:lang w:eastAsia="en-GB"/>
        </w:rPr>
        <w:t>18</w:t>
      </w:r>
      <w:r w:rsidRPr="00BD6DE4">
        <w:rPr>
          <w:rFonts w:eastAsia="Times New Roman"/>
          <w:szCs w:val="24"/>
          <w:lang w:eastAsia="en-GB"/>
        </w:rPr>
        <w:t xml:space="preserve">% by small and medium-sized enterprises and individual inventors, and </w:t>
      </w:r>
      <w:r w:rsidR="00CA560D">
        <w:rPr>
          <w:rFonts w:eastAsia="Times New Roman"/>
          <w:szCs w:val="24"/>
          <w:lang w:eastAsia="en-GB"/>
        </w:rPr>
        <w:t>10</w:t>
      </w:r>
      <w:r w:rsidRPr="00BD6DE4">
        <w:rPr>
          <w:rFonts w:eastAsia="Times New Roman"/>
          <w:szCs w:val="24"/>
          <w:lang w:eastAsia="en-GB"/>
        </w:rPr>
        <w:t xml:space="preserve">% by universities and public research organisations. This confirms that a significant proportion of EPO applicants are smaller entities (Fig.: </w:t>
      </w:r>
      <w:hyperlink r:id="rId17" w:history="1">
        <w:r w:rsidRPr="00B63292">
          <w:rPr>
            <w:rStyle w:val="Hyperlink"/>
            <w:i/>
          </w:rPr>
          <w:t>Breakdown of applicants by category</w:t>
        </w:r>
      </w:hyperlink>
      <w:r w:rsidRPr="00B63292">
        <w:t xml:space="preserve">). </w:t>
      </w:r>
    </w:p>
    <w:p w14:paraId="622AEB5B" w14:textId="39FC6C80" w:rsidR="00327629" w:rsidRPr="00BD6DE4" w:rsidRDefault="00327629" w:rsidP="00327629">
      <w:pPr>
        <w:spacing w:before="100" w:beforeAutospacing="1" w:after="100" w:afterAutospacing="1"/>
        <w:rPr>
          <w:rFonts w:eastAsia="Times New Roman"/>
          <w:szCs w:val="24"/>
          <w:lang w:eastAsia="en-GB"/>
        </w:rPr>
      </w:pPr>
      <w:r w:rsidRPr="00BD6DE4">
        <w:rPr>
          <w:rFonts w:eastAsia="Times New Roman"/>
          <w:szCs w:val="24"/>
          <w:lang w:eastAsia="en-GB"/>
        </w:rPr>
        <w:t xml:space="preserve">For detailed statistics, see </w:t>
      </w:r>
      <w:r w:rsidRPr="008E187C">
        <w:rPr>
          <w:rFonts w:eastAsia="Times New Roman"/>
          <w:szCs w:val="24"/>
          <w:lang w:eastAsia="en-GB"/>
        </w:rPr>
        <w:t xml:space="preserve">the </w:t>
      </w:r>
      <w:r w:rsidR="00025F12" w:rsidRPr="001066E1">
        <w:rPr>
          <w:rFonts w:eastAsia="Times New Roman"/>
          <w:szCs w:val="24"/>
          <w:lang w:eastAsia="en-GB"/>
        </w:rPr>
        <w:t xml:space="preserve">EPO </w:t>
      </w:r>
      <w:r w:rsidR="00E32409" w:rsidRPr="001066E1">
        <w:rPr>
          <w:rFonts w:eastAsia="Times New Roman"/>
          <w:szCs w:val="24"/>
          <w:lang w:eastAsia="en-GB"/>
        </w:rPr>
        <w:t xml:space="preserve">Patent </w:t>
      </w:r>
      <w:r w:rsidR="008E187C" w:rsidRPr="001066E1">
        <w:rPr>
          <w:rFonts w:eastAsia="Times New Roman"/>
          <w:szCs w:val="24"/>
          <w:lang w:eastAsia="en-GB"/>
        </w:rPr>
        <w:t xml:space="preserve">Index </w:t>
      </w:r>
      <w:r w:rsidR="00E32409" w:rsidRPr="001066E1">
        <w:rPr>
          <w:rFonts w:eastAsia="Times New Roman"/>
          <w:szCs w:val="24"/>
          <w:lang w:eastAsia="en-GB"/>
        </w:rPr>
        <w:t>2019</w:t>
      </w:r>
      <w:r w:rsidR="00E32409" w:rsidRPr="001066E1">
        <w:rPr>
          <w:rFonts w:eastAsia="Times New Roman"/>
          <w:i/>
          <w:szCs w:val="24"/>
          <w:lang w:eastAsia="en-GB"/>
        </w:rPr>
        <w:t xml:space="preserve"> </w:t>
      </w:r>
      <w:r w:rsidRPr="00BD6DE4">
        <w:rPr>
          <w:rFonts w:eastAsia="Times New Roman"/>
          <w:szCs w:val="24"/>
          <w:lang w:eastAsia="en-GB"/>
        </w:rPr>
        <w:t xml:space="preserve">at </w:t>
      </w:r>
      <w:bookmarkStart w:id="13" w:name="_Hlk33559045"/>
      <w:r w:rsidR="001066E1" w:rsidRPr="00631FFB">
        <w:fldChar w:fldCharType="begin"/>
      </w:r>
      <w:r w:rsidR="001066E1" w:rsidRPr="00631FFB">
        <w:instrText xml:space="preserve"> HYPERLINK "http://www.</w:instrText>
      </w:r>
      <w:r w:rsidR="001066E1" w:rsidRPr="00631FFB">
        <w:rPr>
          <w:bCs/>
        </w:rPr>
        <w:instrText>epo.org/patent-index2019</w:instrText>
      </w:r>
      <w:r w:rsidR="001066E1" w:rsidRPr="00631FFB">
        <w:instrText xml:space="preserve">" </w:instrText>
      </w:r>
      <w:r w:rsidR="001066E1" w:rsidRPr="00631FFB">
        <w:fldChar w:fldCharType="separate"/>
      </w:r>
      <w:r w:rsidR="001066E1" w:rsidRPr="00631FFB">
        <w:rPr>
          <w:rStyle w:val="Hyperlink"/>
          <w:rFonts w:cs="Arial Unicode MS"/>
        </w:rPr>
        <w:t>www.</w:t>
      </w:r>
      <w:r w:rsidR="001066E1" w:rsidRPr="00631FFB">
        <w:rPr>
          <w:rStyle w:val="Hyperlink"/>
          <w:rFonts w:cs="Arial Unicode MS"/>
          <w:bCs/>
        </w:rPr>
        <w:t>epo.org/patent-index2019</w:t>
      </w:r>
      <w:r w:rsidR="001066E1" w:rsidRPr="00631FFB">
        <w:fldChar w:fldCharType="end"/>
      </w:r>
      <w:bookmarkEnd w:id="13"/>
      <w:r w:rsidR="00260B82">
        <w:t>.</w:t>
      </w:r>
    </w:p>
    <w:p w14:paraId="2393FD18" w14:textId="4DB20D40" w:rsidR="00327629" w:rsidRPr="002335F2" w:rsidRDefault="00327629" w:rsidP="00327629">
      <w:pPr>
        <w:spacing w:before="100" w:beforeAutospacing="1" w:after="100" w:afterAutospacing="1"/>
        <w:outlineLvl w:val="2"/>
        <w:rPr>
          <w:rFonts w:eastAsia="Times New Roman"/>
          <w:b/>
          <w:bCs/>
          <w:sz w:val="27"/>
          <w:szCs w:val="27"/>
          <w:lang w:val="fr-CH" w:eastAsia="en-GB"/>
        </w:rPr>
      </w:pPr>
      <w:r w:rsidRPr="002335F2">
        <w:rPr>
          <w:rFonts w:eastAsia="Times New Roman"/>
          <w:b/>
          <w:bCs/>
          <w:sz w:val="27"/>
          <w:szCs w:val="27"/>
          <w:lang w:val="fr-CH" w:eastAsia="en-GB"/>
        </w:rPr>
        <w:t>Media contacts European Patent Office</w:t>
      </w:r>
    </w:p>
    <w:p w14:paraId="7F613EEE" w14:textId="3DBCC05E" w:rsidR="00327629" w:rsidRPr="002335F2" w:rsidRDefault="00C12098" w:rsidP="00327629">
      <w:pPr>
        <w:spacing w:before="100" w:beforeAutospacing="1" w:after="100" w:afterAutospacing="1"/>
        <w:rPr>
          <w:rFonts w:eastAsia="Times New Roman"/>
          <w:szCs w:val="24"/>
          <w:lang w:val="fr-CH" w:eastAsia="en-GB"/>
        </w:rPr>
      </w:pPr>
      <w:r w:rsidRPr="002335F2">
        <w:rPr>
          <w:rFonts w:eastAsia="Times New Roman"/>
          <w:b/>
          <w:bCs/>
          <w:szCs w:val="24"/>
          <w:lang w:val="fr-CH" w:eastAsia="en-GB"/>
        </w:rPr>
        <w:lastRenderedPageBreak/>
        <w:t>Luis Berenguer Giménez</w:t>
      </w:r>
      <w:r w:rsidR="00327629" w:rsidRPr="002335F2">
        <w:rPr>
          <w:rFonts w:eastAsia="Times New Roman"/>
          <w:szCs w:val="24"/>
          <w:lang w:val="fr-CH" w:eastAsia="en-GB"/>
        </w:rPr>
        <w:t xml:space="preserve"> </w:t>
      </w:r>
      <w:r w:rsidR="00327629" w:rsidRPr="002335F2">
        <w:rPr>
          <w:rFonts w:eastAsia="Times New Roman"/>
          <w:szCs w:val="24"/>
          <w:lang w:val="fr-CH" w:eastAsia="en-GB"/>
        </w:rPr>
        <w:br/>
      </w:r>
      <w:r w:rsidRPr="002335F2">
        <w:rPr>
          <w:rFonts w:eastAsia="Times New Roman"/>
          <w:szCs w:val="24"/>
          <w:lang w:val="fr-CH" w:eastAsia="en-GB"/>
        </w:rPr>
        <w:t xml:space="preserve">Principal </w:t>
      </w:r>
      <w:proofErr w:type="spellStart"/>
      <w:r w:rsidRPr="002335F2">
        <w:rPr>
          <w:rFonts w:eastAsia="Times New Roman"/>
          <w:szCs w:val="24"/>
          <w:lang w:val="fr-CH" w:eastAsia="en-GB"/>
        </w:rPr>
        <w:t>Director</w:t>
      </w:r>
      <w:proofErr w:type="spellEnd"/>
      <w:r w:rsidRPr="002335F2">
        <w:rPr>
          <w:rFonts w:eastAsia="Times New Roman"/>
          <w:szCs w:val="24"/>
          <w:lang w:val="fr-CH" w:eastAsia="en-GB"/>
        </w:rPr>
        <w:t xml:space="preserve"> Communication</w:t>
      </w:r>
    </w:p>
    <w:p w14:paraId="50B84006" w14:textId="77777777" w:rsidR="00327629" w:rsidRPr="00BD6DE4" w:rsidRDefault="00327629" w:rsidP="00327629">
      <w:pPr>
        <w:spacing w:before="100" w:beforeAutospacing="1" w:after="100" w:afterAutospacing="1"/>
        <w:rPr>
          <w:rFonts w:eastAsia="Times New Roman"/>
          <w:szCs w:val="24"/>
          <w:lang w:eastAsia="en-GB"/>
        </w:rPr>
      </w:pPr>
      <w:r w:rsidRPr="00E32409">
        <w:rPr>
          <w:rFonts w:eastAsia="Times New Roman"/>
          <w:b/>
          <w:bCs/>
          <w:szCs w:val="24"/>
          <w:lang w:eastAsia="en-GB"/>
        </w:rPr>
        <w:t>Rainer Osterwalder</w:t>
      </w:r>
      <w:r w:rsidRPr="00E32409">
        <w:rPr>
          <w:rFonts w:eastAsia="Times New Roman"/>
          <w:szCs w:val="24"/>
          <w:lang w:eastAsia="en-GB"/>
        </w:rPr>
        <w:t xml:space="preserve"> </w:t>
      </w:r>
      <w:r w:rsidRPr="00E32409">
        <w:rPr>
          <w:rFonts w:eastAsia="Times New Roman"/>
          <w:szCs w:val="24"/>
          <w:lang w:eastAsia="en-GB"/>
        </w:rPr>
        <w:br/>
        <w:t>Press spokesperson</w:t>
      </w:r>
      <w:r w:rsidRPr="00BD6DE4">
        <w:rPr>
          <w:rFonts w:eastAsia="Times New Roman"/>
          <w:b/>
          <w:bCs/>
          <w:szCs w:val="24"/>
          <w:lang w:eastAsia="en-GB"/>
        </w:rPr>
        <w:t xml:space="preserve"> </w:t>
      </w:r>
    </w:p>
    <w:p w14:paraId="21990FF0" w14:textId="20B89A0D" w:rsidR="00B1707E" w:rsidRDefault="00327629" w:rsidP="00F12F4A">
      <w:pPr>
        <w:spacing w:before="100" w:beforeAutospacing="1" w:after="100" w:afterAutospacing="1"/>
        <w:rPr>
          <w:rFonts w:eastAsia="Times New Roman"/>
          <w:szCs w:val="24"/>
          <w:lang w:eastAsia="en-GB"/>
        </w:rPr>
      </w:pPr>
      <w:r w:rsidRPr="00BD6DE4">
        <w:rPr>
          <w:rFonts w:eastAsia="Times New Roman"/>
          <w:b/>
          <w:bCs/>
          <w:szCs w:val="24"/>
          <w:lang w:eastAsia="en-GB"/>
        </w:rPr>
        <w:t>EPO press desk</w:t>
      </w:r>
      <w:r w:rsidRPr="00BD6DE4">
        <w:rPr>
          <w:rFonts w:eastAsia="Times New Roman"/>
          <w:szCs w:val="24"/>
          <w:lang w:eastAsia="en-GB"/>
        </w:rPr>
        <w:br/>
        <w:t>Tel.: +49 89 2399 1820</w:t>
      </w:r>
      <w:r w:rsidRPr="00BD6DE4">
        <w:rPr>
          <w:rFonts w:eastAsia="Times New Roman"/>
          <w:szCs w:val="24"/>
          <w:lang w:eastAsia="en-GB"/>
        </w:rPr>
        <w:br/>
        <w:t>Mobile: +49 163 8399527</w:t>
      </w:r>
      <w:r w:rsidRPr="00BD6DE4">
        <w:rPr>
          <w:rFonts w:eastAsia="Times New Roman"/>
          <w:szCs w:val="24"/>
          <w:lang w:eastAsia="en-GB"/>
        </w:rPr>
        <w:br/>
      </w:r>
      <w:hyperlink r:id="rId18" w:history="1">
        <w:r w:rsidR="00074CBC" w:rsidRPr="00BD6DE4">
          <w:rPr>
            <w:rStyle w:val="Hyperlink"/>
            <w:rFonts w:eastAsia="Times New Roman"/>
            <w:szCs w:val="24"/>
            <w:lang w:eastAsia="en-GB"/>
          </w:rPr>
          <w:t>press@epo.org</w:t>
        </w:r>
      </w:hyperlink>
      <w:r w:rsidRPr="00BD6DE4">
        <w:rPr>
          <w:rFonts w:eastAsia="Times New Roman"/>
          <w:szCs w:val="24"/>
          <w:lang w:eastAsia="en-GB"/>
        </w:rPr>
        <w:t xml:space="preserve"> </w:t>
      </w:r>
    </w:p>
    <w:p w14:paraId="7F2EE126" w14:textId="373C59C2" w:rsidR="00C603CD" w:rsidRPr="00133E51" w:rsidRDefault="00C603CD" w:rsidP="00C603CD">
      <w:pPr>
        <w:pStyle w:val="NormalWeb"/>
        <w:rPr>
          <w:rFonts w:ascii="Arial" w:hAnsi="Arial" w:cs="Arial"/>
          <w:b/>
        </w:rPr>
      </w:pPr>
      <w:r w:rsidRPr="00133E51">
        <w:rPr>
          <w:rFonts w:ascii="Arial" w:hAnsi="Arial" w:cs="Arial"/>
          <w:b/>
        </w:rPr>
        <w:t>About the EPO</w:t>
      </w:r>
    </w:p>
    <w:p w14:paraId="4D86FAE6" w14:textId="43EA4618" w:rsidR="00C603CD" w:rsidRPr="00BD6DE4" w:rsidRDefault="00C603CD" w:rsidP="00B63292">
      <w:pPr>
        <w:pStyle w:val="NormalWeb"/>
        <w:shd w:val="clear" w:color="auto" w:fill="FFFFFF"/>
      </w:pPr>
      <w:r w:rsidRPr="00133E51">
        <w:rPr>
          <w:rFonts w:ascii="Arial" w:hAnsi="Arial" w:cs="Arial"/>
        </w:rPr>
        <w:t xml:space="preserve">With nearly 7 000 staff, the </w:t>
      </w:r>
      <w:hyperlink r:id="rId19" w:history="1">
        <w:r w:rsidRPr="00133E51">
          <w:rPr>
            <w:rFonts w:ascii="Arial" w:hAnsi="Arial" w:cs="Arial"/>
          </w:rPr>
          <w:t>European Patent Office (EPO)</w:t>
        </w:r>
      </w:hyperlink>
      <w:r w:rsidRPr="00133E51">
        <w:rPr>
          <w:rFonts w:ascii="Arial" w:hAnsi="Arial" w:cs="Arial"/>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 </w:t>
      </w:r>
    </w:p>
    <w:sectPr w:rsidR="00C603CD" w:rsidRPr="00BD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91C"/>
    <w:multiLevelType w:val="multilevel"/>
    <w:tmpl w:val="F970F50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52D3D"/>
    <w:multiLevelType w:val="hybridMultilevel"/>
    <w:tmpl w:val="62E0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0597E"/>
    <w:multiLevelType w:val="hybridMultilevel"/>
    <w:tmpl w:val="058C0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E65A9A"/>
    <w:multiLevelType w:val="multilevel"/>
    <w:tmpl w:val="8F62504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223F30"/>
    <w:multiLevelType w:val="multilevel"/>
    <w:tmpl w:val="5316063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 w15:restartNumberingAfterBreak="0">
    <w:nsid w:val="403338F9"/>
    <w:multiLevelType w:val="hybridMultilevel"/>
    <w:tmpl w:val="21FC1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4357622"/>
    <w:multiLevelType w:val="hybridMultilevel"/>
    <w:tmpl w:val="264E0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DD628D"/>
    <w:multiLevelType w:val="multilevel"/>
    <w:tmpl w:val="4BBCD694"/>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15:restartNumberingAfterBreak="0">
    <w:nsid w:val="45E21F2F"/>
    <w:multiLevelType w:val="hybridMultilevel"/>
    <w:tmpl w:val="438CCFB6"/>
    <w:lvl w:ilvl="0" w:tplc="681C84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6595E"/>
    <w:multiLevelType w:val="multilevel"/>
    <w:tmpl w:val="1488EDC0"/>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0" w15:restartNumberingAfterBreak="0">
    <w:nsid w:val="47072D1E"/>
    <w:multiLevelType w:val="hybridMultilevel"/>
    <w:tmpl w:val="2B6C2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164375"/>
    <w:multiLevelType w:val="multilevel"/>
    <w:tmpl w:val="9A5A0D18"/>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2339CD"/>
    <w:multiLevelType w:val="hybridMultilevel"/>
    <w:tmpl w:val="5C102A1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312006F"/>
    <w:multiLevelType w:val="multilevel"/>
    <w:tmpl w:val="D974F2AE"/>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4" w15:restartNumberingAfterBreak="0">
    <w:nsid w:val="6F987807"/>
    <w:multiLevelType w:val="multilevel"/>
    <w:tmpl w:val="5A6C60AE"/>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30303D"/>
    <w:multiLevelType w:val="hybridMultilevel"/>
    <w:tmpl w:val="C464C5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76237B15"/>
    <w:multiLevelType w:val="multilevel"/>
    <w:tmpl w:val="6F5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4"/>
  </w:num>
  <w:num w:numId="4">
    <w:abstractNumId w:val="11"/>
  </w:num>
  <w:num w:numId="5">
    <w:abstractNumId w:val="9"/>
  </w:num>
  <w:num w:numId="6">
    <w:abstractNumId w:val="7"/>
  </w:num>
  <w:num w:numId="7">
    <w:abstractNumId w:val="4"/>
  </w:num>
  <w:num w:numId="8">
    <w:abstractNumId w:val="13"/>
  </w:num>
  <w:num w:numId="9">
    <w:abstractNumId w:val="16"/>
  </w:num>
  <w:num w:numId="10">
    <w:abstractNumId w:val="2"/>
  </w:num>
  <w:num w:numId="11">
    <w:abstractNumId w:val="10"/>
  </w:num>
  <w:num w:numId="12">
    <w:abstractNumId w:val="5"/>
  </w:num>
  <w:num w:numId="13">
    <w:abstractNumId w:val="6"/>
  </w:num>
  <w:num w:numId="14">
    <w:abstractNumId w:val="12"/>
  </w:num>
  <w:num w:numId="15">
    <w:abstractNumId w:val="1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629"/>
    <w:rsid w:val="00001E31"/>
    <w:rsid w:val="00003606"/>
    <w:rsid w:val="00003FE0"/>
    <w:rsid w:val="00012A39"/>
    <w:rsid w:val="00025F12"/>
    <w:rsid w:val="00030C00"/>
    <w:rsid w:val="00054A6D"/>
    <w:rsid w:val="00055698"/>
    <w:rsid w:val="0006286A"/>
    <w:rsid w:val="0006490A"/>
    <w:rsid w:val="00064A2E"/>
    <w:rsid w:val="00066055"/>
    <w:rsid w:val="00066B73"/>
    <w:rsid w:val="00074CBC"/>
    <w:rsid w:val="000818F6"/>
    <w:rsid w:val="00085A07"/>
    <w:rsid w:val="000A4004"/>
    <w:rsid w:val="000A602E"/>
    <w:rsid w:val="000B4EF7"/>
    <w:rsid w:val="000C2BC0"/>
    <w:rsid w:val="000C4B13"/>
    <w:rsid w:val="000D1265"/>
    <w:rsid w:val="000D146A"/>
    <w:rsid w:val="000D5D7F"/>
    <w:rsid w:val="000E018F"/>
    <w:rsid w:val="000E0AA0"/>
    <w:rsid w:val="000E22B7"/>
    <w:rsid w:val="000E5615"/>
    <w:rsid w:val="000E622E"/>
    <w:rsid w:val="000F3839"/>
    <w:rsid w:val="000F54E3"/>
    <w:rsid w:val="000F5F2A"/>
    <w:rsid w:val="0010140B"/>
    <w:rsid w:val="001066E1"/>
    <w:rsid w:val="00116554"/>
    <w:rsid w:val="001169D1"/>
    <w:rsid w:val="00117147"/>
    <w:rsid w:val="00117D9D"/>
    <w:rsid w:val="001261E6"/>
    <w:rsid w:val="00127B15"/>
    <w:rsid w:val="00140FA9"/>
    <w:rsid w:val="0014550D"/>
    <w:rsid w:val="00147C17"/>
    <w:rsid w:val="00155443"/>
    <w:rsid w:val="00157907"/>
    <w:rsid w:val="0016025C"/>
    <w:rsid w:val="00171F5D"/>
    <w:rsid w:val="00173D7E"/>
    <w:rsid w:val="001859C5"/>
    <w:rsid w:val="001860AD"/>
    <w:rsid w:val="00192735"/>
    <w:rsid w:val="00196ACA"/>
    <w:rsid w:val="001A4DF6"/>
    <w:rsid w:val="001B0B00"/>
    <w:rsid w:val="001B7666"/>
    <w:rsid w:val="001C25D5"/>
    <w:rsid w:val="001C2D4C"/>
    <w:rsid w:val="001C57D4"/>
    <w:rsid w:val="001D1743"/>
    <w:rsid w:val="001D2F48"/>
    <w:rsid w:val="001D4784"/>
    <w:rsid w:val="001D7067"/>
    <w:rsid w:val="001D776D"/>
    <w:rsid w:val="001E2CC6"/>
    <w:rsid w:val="0020018D"/>
    <w:rsid w:val="00201FED"/>
    <w:rsid w:val="00203E90"/>
    <w:rsid w:val="00206BFE"/>
    <w:rsid w:val="002200CA"/>
    <w:rsid w:val="00224895"/>
    <w:rsid w:val="00224D75"/>
    <w:rsid w:val="002269B2"/>
    <w:rsid w:val="002335F2"/>
    <w:rsid w:val="00236706"/>
    <w:rsid w:val="00253580"/>
    <w:rsid w:val="00260B82"/>
    <w:rsid w:val="00264D37"/>
    <w:rsid w:val="00266BC5"/>
    <w:rsid w:val="002718B3"/>
    <w:rsid w:val="00273DFA"/>
    <w:rsid w:val="00290021"/>
    <w:rsid w:val="002957F0"/>
    <w:rsid w:val="002979A5"/>
    <w:rsid w:val="002A3A86"/>
    <w:rsid w:val="002B15AE"/>
    <w:rsid w:val="002B41E3"/>
    <w:rsid w:val="002B44E6"/>
    <w:rsid w:val="002B53CF"/>
    <w:rsid w:val="002C017B"/>
    <w:rsid w:val="002C1C6F"/>
    <w:rsid w:val="002F1AFB"/>
    <w:rsid w:val="002F2BE8"/>
    <w:rsid w:val="002F501C"/>
    <w:rsid w:val="00303B4E"/>
    <w:rsid w:val="00310A5C"/>
    <w:rsid w:val="00310C67"/>
    <w:rsid w:val="00320D06"/>
    <w:rsid w:val="00322C30"/>
    <w:rsid w:val="00323731"/>
    <w:rsid w:val="00323A0E"/>
    <w:rsid w:val="00325FC4"/>
    <w:rsid w:val="00327629"/>
    <w:rsid w:val="003356BE"/>
    <w:rsid w:val="00335EE7"/>
    <w:rsid w:val="00351405"/>
    <w:rsid w:val="003571D7"/>
    <w:rsid w:val="0035766B"/>
    <w:rsid w:val="00360209"/>
    <w:rsid w:val="0037088D"/>
    <w:rsid w:val="003851CE"/>
    <w:rsid w:val="00386592"/>
    <w:rsid w:val="00390C37"/>
    <w:rsid w:val="00392A09"/>
    <w:rsid w:val="00393E1A"/>
    <w:rsid w:val="00396716"/>
    <w:rsid w:val="003A3201"/>
    <w:rsid w:val="003A7CDE"/>
    <w:rsid w:val="003A7D65"/>
    <w:rsid w:val="003B126B"/>
    <w:rsid w:val="003B7069"/>
    <w:rsid w:val="003C6AC5"/>
    <w:rsid w:val="003E12F1"/>
    <w:rsid w:val="003F2470"/>
    <w:rsid w:val="003F2555"/>
    <w:rsid w:val="003F2761"/>
    <w:rsid w:val="003F4006"/>
    <w:rsid w:val="003F70D1"/>
    <w:rsid w:val="00403A0B"/>
    <w:rsid w:val="00410F70"/>
    <w:rsid w:val="00412652"/>
    <w:rsid w:val="00420B29"/>
    <w:rsid w:val="00424151"/>
    <w:rsid w:val="004245B9"/>
    <w:rsid w:val="00425956"/>
    <w:rsid w:val="00452C18"/>
    <w:rsid w:val="00457BEA"/>
    <w:rsid w:val="00457EBD"/>
    <w:rsid w:val="004670D3"/>
    <w:rsid w:val="00477491"/>
    <w:rsid w:val="004847B9"/>
    <w:rsid w:val="004866FC"/>
    <w:rsid w:val="00487457"/>
    <w:rsid w:val="00490F07"/>
    <w:rsid w:val="00491479"/>
    <w:rsid w:val="004974BB"/>
    <w:rsid w:val="004A2B4D"/>
    <w:rsid w:val="004A5283"/>
    <w:rsid w:val="004A7B3D"/>
    <w:rsid w:val="004B1CAD"/>
    <w:rsid w:val="004B5881"/>
    <w:rsid w:val="004B58F8"/>
    <w:rsid w:val="004D14FF"/>
    <w:rsid w:val="004D4EF9"/>
    <w:rsid w:val="004E15E7"/>
    <w:rsid w:val="004E2441"/>
    <w:rsid w:val="004E4373"/>
    <w:rsid w:val="004E7046"/>
    <w:rsid w:val="004F051E"/>
    <w:rsid w:val="004F41EC"/>
    <w:rsid w:val="0050465E"/>
    <w:rsid w:val="0051577C"/>
    <w:rsid w:val="00533576"/>
    <w:rsid w:val="005360F2"/>
    <w:rsid w:val="00537D0E"/>
    <w:rsid w:val="00546D8B"/>
    <w:rsid w:val="00551F9F"/>
    <w:rsid w:val="00556D2B"/>
    <w:rsid w:val="005609CE"/>
    <w:rsid w:val="00573004"/>
    <w:rsid w:val="00584249"/>
    <w:rsid w:val="005A032E"/>
    <w:rsid w:val="005A1863"/>
    <w:rsid w:val="005B1981"/>
    <w:rsid w:val="005B2306"/>
    <w:rsid w:val="005D0F32"/>
    <w:rsid w:val="005D1B6A"/>
    <w:rsid w:val="005D64D6"/>
    <w:rsid w:val="005E0343"/>
    <w:rsid w:val="005E637F"/>
    <w:rsid w:val="005F25E9"/>
    <w:rsid w:val="006013EF"/>
    <w:rsid w:val="00601776"/>
    <w:rsid w:val="006035FF"/>
    <w:rsid w:val="00604A14"/>
    <w:rsid w:val="00612897"/>
    <w:rsid w:val="00615C06"/>
    <w:rsid w:val="00616E5A"/>
    <w:rsid w:val="00623477"/>
    <w:rsid w:val="0063285D"/>
    <w:rsid w:val="0063660F"/>
    <w:rsid w:val="00640F18"/>
    <w:rsid w:val="00642341"/>
    <w:rsid w:val="00651B83"/>
    <w:rsid w:val="00661C04"/>
    <w:rsid w:val="00664EA0"/>
    <w:rsid w:val="0066662A"/>
    <w:rsid w:val="00685D80"/>
    <w:rsid w:val="00691E2D"/>
    <w:rsid w:val="0069613B"/>
    <w:rsid w:val="006C03AE"/>
    <w:rsid w:val="006C6E97"/>
    <w:rsid w:val="006D23C6"/>
    <w:rsid w:val="006D64A3"/>
    <w:rsid w:val="006E159A"/>
    <w:rsid w:val="006E7C30"/>
    <w:rsid w:val="006F5EF9"/>
    <w:rsid w:val="00701340"/>
    <w:rsid w:val="007075A9"/>
    <w:rsid w:val="00713342"/>
    <w:rsid w:val="00722913"/>
    <w:rsid w:val="00723ED5"/>
    <w:rsid w:val="007321CB"/>
    <w:rsid w:val="00765297"/>
    <w:rsid w:val="00767A5C"/>
    <w:rsid w:val="007714DF"/>
    <w:rsid w:val="00780C28"/>
    <w:rsid w:val="00781E41"/>
    <w:rsid w:val="00781EA7"/>
    <w:rsid w:val="00785CBF"/>
    <w:rsid w:val="00792702"/>
    <w:rsid w:val="00793C6F"/>
    <w:rsid w:val="007A0948"/>
    <w:rsid w:val="007A1ECC"/>
    <w:rsid w:val="007B28DA"/>
    <w:rsid w:val="007B56FA"/>
    <w:rsid w:val="007C2AE4"/>
    <w:rsid w:val="007C4102"/>
    <w:rsid w:val="007C5382"/>
    <w:rsid w:val="007C7605"/>
    <w:rsid w:val="007D2D71"/>
    <w:rsid w:val="007E11E2"/>
    <w:rsid w:val="007E17D9"/>
    <w:rsid w:val="007E32F2"/>
    <w:rsid w:val="007E6591"/>
    <w:rsid w:val="007E77E0"/>
    <w:rsid w:val="007F28C9"/>
    <w:rsid w:val="007F7272"/>
    <w:rsid w:val="00801AF7"/>
    <w:rsid w:val="0080673C"/>
    <w:rsid w:val="00810B84"/>
    <w:rsid w:val="008217D3"/>
    <w:rsid w:val="00822FF4"/>
    <w:rsid w:val="008268CC"/>
    <w:rsid w:val="008404B4"/>
    <w:rsid w:val="0085591F"/>
    <w:rsid w:val="00856AEB"/>
    <w:rsid w:val="00860766"/>
    <w:rsid w:val="00860DD1"/>
    <w:rsid w:val="0087137B"/>
    <w:rsid w:val="00890CB6"/>
    <w:rsid w:val="0089565F"/>
    <w:rsid w:val="008A3483"/>
    <w:rsid w:val="008A6C3B"/>
    <w:rsid w:val="008B3E05"/>
    <w:rsid w:val="008B3F54"/>
    <w:rsid w:val="008B7240"/>
    <w:rsid w:val="008C0381"/>
    <w:rsid w:val="008C6611"/>
    <w:rsid w:val="008D50A8"/>
    <w:rsid w:val="008E187C"/>
    <w:rsid w:val="008E6B1D"/>
    <w:rsid w:val="008E7F5B"/>
    <w:rsid w:val="008F6FDE"/>
    <w:rsid w:val="00900E8E"/>
    <w:rsid w:val="00906F8B"/>
    <w:rsid w:val="00910463"/>
    <w:rsid w:val="00910F40"/>
    <w:rsid w:val="0091518F"/>
    <w:rsid w:val="00923916"/>
    <w:rsid w:val="00944A1F"/>
    <w:rsid w:val="00947AFB"/>
    <w:rsid w:val="00947E51"/>
    <w:rsid w:val="0095278F"/>
    <w:rsid w:val="009605D9"/>
    <w:rsid w:val="009719BC"/>
    <w:rsid w:val="0097455F"/>
    <w:rsid w:val="00975218"/>
    <w:rsid w:val="00975EA2"/>
    <w:rsid w:val="009831EF"/>
    <w:rsid w:val="00983360"/>
    <w:rsid w:val="009A329A"/>
    <w:rsid w:val="009A708E"/>
    <w:rsid w:val="009B0614"/>
    <w:rsid w:val="009B5FBE"/>
    <w:rsid w:val="009B7A69"/>
    <w:rsid w:val="009C3384"/>
    <w:rsid w:val="009C3BF4"/>
    <w:rsid w:val="009C7201"/>
    <w:rsid w:val="009D1E65"/>
    <w:rsid w:val="009D3317"/>
    <w:rsid w:val="009D4E61"/>
    <w:rsid w:val="009E2DE3"/>
    <w:rsid w:val="009F25BB"/>
    <w:rsid w:val="009F6CD6"/>
    <w:rsid w:val="00A02078"/>
    <w:rsid w:val="00A04035"/>
    <w:rsid w:val="00A12D81"/>
    <w:rsid w:val="00A15902"/>
    <w:rsid w:val="00A339F2"/>
    <w:rsid w:val="00A45A2F"/>
    <w:rsid w:val="00A526E0"/>
    <w:rsid w:val="00A53767"/>
    <w:rsid w:val="00A5636A"/>
    <w:rsid w:val="00A56EBA"/>
    <w:rsid w:val="00A60F59"/>
    <w:rsid w:val="00A66593"/>
    <w:rsid w:val="00A703E0"/>
    <w:rsid w:val="00A86096"/>
    <w:rsid w:val="00A90FB2"/>
    <w:rsid w:val="00A94E5E"/>
    <w:rsid w:val="00A95E81"/>
    <w:rsid w:val="00A96D48"/>
    <w:rsid w:val="00AB2CDA"/>
    <w:rsid w:val="00AB3A65"/>
    <w:rsid w:val="00AB53EF"/>
    <w:rsid w:val="00AC24E6"/>
    <w:rsid w:val="00AC40F8"/>
    <w:rsid w:val="00AD0239"/>
    <w:rsid w:val="00AD0781"/>
    <w:rsid w:val="00AD0892"/>
    <w:rsid w:val="00AD20DA"/>
    <w:rsid w:val="00AE4225"/>
    <w:rsid w:val="00AF6B77"/>
    <w:rsid w:val="00AF75D6"/>
    <w:rsid w:val="00B04847"/>
    <w:rsid w:val="00B14DF6"/>
    <w:rsid w:val="00B16CC9"/>
    <w:rsid w:val="00B1700B"/>
    <w:rsid w:val="00B1707E"/>
    <w:rsid w:val="00B245C4"/>
    <w:rsid w:val="00B35F7A"/>
    <w:rsid w:val="00B4513C"/>
    <w:rsid w:val="00B53C11"/>
    <w:rsid w:val="00B63292"/>
    <w:rsid w:val="00B652E3"/>
    <w:rsid w:val="00B758D2"/>
    <w:rsid w:val="00B86BEE"/>
    <w:rsid w:val="00B87A30"/>
    <w:rsid w:val="00B91605"/>
    <w:rsid w:val="00B941E3"/>
    <w:rsid w:val="00B95A9F"/>
    <w:rsid w:val="00BA4D95"/>
    <w:rsid w:val="00BB2433"/>
    <w:rsid w:val="00BB2A8A"/>
    <w:rsid w:val="00BB5CAF"/>
    <w:rsid w:val="00BB6860"/>
    <w:rsid w:val="00BC0341"/>
    <w:rsid w:val="00BC0E3C"/>
    <w:rsid w:val="00BC6348"/>
    <w:rsid w:val="00BD6DE4"/>
    <w:rsid w:val="00BE4952"/>
    <w:rsid w:val="00BF497E"/>
    <w:rsid w:val="00C02593"/>
    <w:rsid w:val="00C02740"/>
    <w:rsid w:val="00C04DA1"/>
    <w:rsid w:val="00C107A0"/>
    <w:rsid w:val="00C109BF"/>
    <w:rsid w:val="00C11E9A"/>
    <w:rsid w:val="00C12098"/>
    <w:rsid w:val="00C21FA1"/>
    <w:rsid w:val="00C23B21"/>
    <w:rsid w:val="00C3025F"/>
    <w:rsid w:val="00C3065B"/>
    <w:rsid w:val="00C35D9A"/>
    <w:rsid w:val="00C434A1"/>
    <w:rsid w:val="00C47A27"/>
    <w:rsid w:val="00C568C5"/>
    <w:rsid w:val="00C603CD"/>
    <w:rsid w:val="00C72B3C"/>
    <w:rsid w:val="00C7442C"/>
    <w:rsid w:val="00C75BA2"/>
    <w:rsid w:val="00C82B6F"/>
    <w:rsid w:val="00C8331F"/>
    <w:rsid w:val="00C8799F"/>
    <w:rsid w:val="00C9045E"/>
    <w:rsid w:val="00C90CA5"/>
    <w:rsid w:val="00C932B7"/>
    <w:rsid w:val="00CA560D"/>
    <w:rsid w:val="00CB01C2"/>
    <w:rsid w:val="00CB3107"/>
    <w:rsid w:val="00CC1D49"/>
    <w:rsid w:val="00CC218A"/>
    <w:rsid w:val="00CC65F9"/>
    <w:rsid w:val="00CD3DF9"/>
    <w:rsid w:val="00CD681D"/>
    <w:rsid w:val="00CE27C1"/>
    <w:rsid w:val="00CE5A94"/>
    <w:rsid w:val="00CE7511"/>
    <w:rsid w:val="00CF66C3"/>
    <w:rsid w:val="00D02D22"/>
    <w:rsid w:val="00D04BDA"/>
    <w:rsid w:val="00D1644C"/>
    <w:rsid w:val="00D231C3"/>
    <w:rsid w:val="00D23D8F"/>
    <w:rsid w:val="00D3624C"/>
    <w:rsid w:val="00D44F2B"/>
    <w:rsid w:val="00D63E23"/>
    <w:rsid w:val="00D663FA"/>
    <w:rsid w:val="00D70ADD"/>
    <w:rsid w:val="00D724FB"/>
    <w:rsid w:val="00D74058"/>
    <w:rsid w:val="00D75C63"/>
    <w:rsid w:val="00D84C06"/>
    <w:rsid w:val="00D9295D"/>
    <w:rsid w:val="00D94E33"/>
    <w:rsid w:val="00DA0F04"/>
    <w:rsid w:val="00DA362B"/>
    <w:rsid w:val="00DA7E83"/>
    <w:rsid w:val="00DC2D03"/>
    <w:rsid w:val="00DC77D7"/>
    <w:rsid w:val="00DD24B3"/>
    <w:rsid w:val="00DD3F15"/>
    <w:rsid w:val="00DE0C87"/>
    <w:rsid w:val="00DE3E11"/>
    <w:rsid w:val="00DF072E"/>
    <w:rsid w:val="00DF42BC"/>
    <w:rsid w:val="00E02A55"/>
    <w:rsid w:val="00E034D2"/>
    <w:rsid w:val="00E04DA6"/>
    <w:rsid w:val="00E07D26"/>
    <w:rsid w:val="00E160AB"/>
    <w:rsid w:val="00E32409"/>
    <w:rsid w:val="00E41A86"/>
    <w:rsid w:val="00E54842"/>
    <w:rsid w:val="00E57678"/>
    <w:rsid w:val="00E577CB"/>
    <w:rsid w:val="00E629D5"/>
    <w:rsid w:val="00E72B1C"/>
    <w:rsid w:val="00E766ED"/>
    <w:rsid w:val="00E82454"/>
    <w:rsid w:val="00E87CA2"/>
    <w:rsid w:val="00E906E6"/>
    <w:rsid w:val="00EA28CF"/>
    <w:rsid w:val="00EA5685"/>
    <w:rsid w:val="00EA7DEF"/>
    <w:rsid w:val="00EB53CB"/>
    <w:rsid w:val="00EB5ECE"/>
    <w:rsid w:val="00EB7005"/>
    <w:rsid w:val="00EC03AB"/>
    <w:rsid w:val="00ED5916"/>
    <w:rsid w:val="00ED5974"/>
    <w:rsid w:val="00ED602A"/>
    <w:rsid w:val="00EE09DF"/>
    <w:rsid w:val="00EE155E"/>
    <w:rsid w:val="00EE6C21"/>
    <w:rsid w:val="00EE7511"/>
    <w:rsid w:val="00EF091E"/>
    <w:rsid w:val="00EF1E92"/>
    <w:rsid w:val="00EF598A"/>
    <w:rsid w:val="00EF710C"/>
    <w:rsid w:val="00F00179"/>
    <w:rsid w:val="00F0398A"/>
    <w:rsid w:val="00F06749"/>
    <w:rsid w:val="00F12F4A"/>
    <w:rsid w:val="00F3202D"/>
    <w:rsid w:val="00F40BF6"/>
    <w:rsid w:val="00F4104F"/>
    <w:rsid w:val="00F449A7"/>
    <w:rsid w:val="00F531D6"/>
    <w:rsid w:val="00F54A9A"/>
    <w:rsid w:val="00F57AC9"/>
    <w:rsid w:val="00F57B5F"/>
    <w:rsid w:val="00F63029"/>
    <w:rsid w:val="00F645B1"/>
    <w:rsid w:val="00F676C9"/>
    <w:rsid w:val="00F67FFC"/>
    <w:rsid w:val="00F76CF3"/>
    <w:rsid w:val="00F80268"/>
    <w:rsid w:val="00F86848"/>
    <w:rsid w:val="00F95649"/>
    <w:rsid w:val="00F9638E"/>
    <w:rsid w:val="00FA6074"/>
    <w:rsid w:val="00FB15C7"/>
    <w:rsid w:val="00FB6566"/>
    <w:rsid w:val="00FB6A26"/>
    <w:rsid w:val="00FB7C4A"/>
    <w:rsid w:val="00FC48EC"/>
    <w:rsid w:val="00FC5349"/>
    <w:rsid w:val="00FD1BFE"/>
    <w:rsid w:val="00FD351E"/>
    <w:rsid w:val="00FD7565"/>
    <w:rsid w:val="00FE5FFE"/>
    <w:rsid w:val="00FE785A"/>
    <w:rsid w:val="00FF2D4E"/>
    <w:rsid w:val="00FF35D0"/>
    <w:rsid w:val="00FF4F26"/>
    <w:rsid w:val="00FF5758"/>
    <w:rsid w:val="00FF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FB3C"/>
  <w15:docId w15:val="{FEB519C2-F054-4C8A-971C-80B90DF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4"/>
    </w:rPr>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2762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327629"/>
  </w:style>
  <w:style w:type="character" w:customStyle="1" w:styleId="EPONormalChar">
    <w:name w:val="EPONormal Char"/>
    <w:basedOn w:val="DefaultParagraphFont"/>
    <w:link w:val="EPONormal"/>
    <w:rsid w:val="00327629"/>
    <w:rPr>
      <w:rFonts w:ascii="Arial" w:hAnsi="Arial" w:cs="Arial"/>
      <w:sz w:val="24"/>
    </w:rPr>
  </w:style>
  <w:style w:type="paragraph" w:customStyle="1" w:styleId="EPODocNormal">
    <w:name w:val="EPODocNormal"/>
    <w:basedOn w:val="EPONormal"/>
    <w:link w:val="EPODocNormalChar"/>
    <w:qFormat/>
    <w:locked/>
    <w:rsid w:val="00327629"/>
    <w:pPr>
      <w:ind w:left="1134"/>
    </w:pPr>
  </w:style>
  <w:style w:type="character" w:customStyle="1" w:styleId="EPODocNormalChar">
    <w:name w:val="EPODocNormal Char"/>
    <w:basedOn w:val="DefaultParagraphFont"/>
    <w:link w:val="EPODocNormal"/>
    <w:rsid w:val="00327629"/>
    <w:rPr>
      <w:rFonts w:ascii="Arial" w:hAnsi="Arial" w:cs="Arial"/>
      <w:sz w:val="24"/>
    </w:rPr>
  </w:style>
  <w:style w:type="paragraph" w:customStyle="1" w:styleId="EPODocHeading1">
    <w:name w:val="EPODocHeading1"/>
    <w:basedOn w:val="EPONormal"/>
    <w:next w:val="EPODocNormal"/>
    <w:link w:val="EPODocHeading1Char"/>
    <w:qFormat/>
    <w:rsid w:val="00327629"/>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327629"/>
    <w:rPr>
      <w:rFonts w:ascii="Arial" w:hAnsi="Arial" w:cs="Arial"/>
      <w:b/>
      <w:caps/>
      <w:sz w:val="28"/>
    </w:rPr>
  </w:style>
  <w:style w:type="paragraph" w:customStyle="1" w:styleId="EPODocHeading2">
    <w:name w:val="EPODocHeading2"/>
    <w:basedOn w:val="EPONormal"/>
    <w:next w:val="EPODocNormal"/>
    <w:link w:val="EPODocHeading2Char"/>
    <w:qFormat/>
    <w:rsid w:val="00327629"/>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327629"/>
    <w:rPr>
      <w:rFonts w:ascii="Arial" w:hAnsi="Arial" w:cs="Arial"/>
      <w:b/>
      <w:caps/>
      <w:sz w:val="24"/>
    </w:rPr>
  </w:style>
  <w:style w:type="paragraph" w:customStyle="1" w:styleId="EPODocHeading3">
    <w:name w:val="EPODocHeading3"/>
    <w:basedOn w:val="EPONormal"/>
    <w:next w:val="EPODocNormal"/>
    <w:link w:val="EPODocHeading3Char"/>
    <w:qFormat/>
    <w:rsid w:val="00327629"/>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327629"/>
    <w:rPr>
      <w:rFonts w:ascii="Arial" w:hAnsi="Arial" w:cs="Arial"/>
      <w:b/>
      <w:sz w:val="24"/>
    </w:rPr>
  </w:style>
  <w:style w:type="paragraph" w:customStyle="1" w:styleId="EPODocHeading4">
    <w:name w:val="EPODocHeading4"/>
    <w:basedOn w:val="EPONormal"/>
    <w:next w:val="EPODocNormal"/>
    <w:link w:val="EPODocHeading4Char"/>
    <w:qFormat/>
    <w:rsid w:val="00327629"/>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327629"/>
    <w:rPr>
      <w:rFonts w:ascii="Arial" w:hAnsi="Arial" w:cs="Arial"/>
      <w:b/>
      <w:sz w:val="24"/>
    </w:rPr>
  </w:style>
  <w:style w:type="paragraph" w:customStyle="1" w:styleId="EPOBullet">
    <w:name w:val="EPOBullet"/>
    <w:basedOn w:val="EPONormal"/>
    <w:link w:val="EPOBulletChar"/>
    <w:qFormat/>
    <w:rsid w:val="00327629"/>
    <w:pPr>
      <w:numPr>
        <w:numId w:val="5"/>
      </w:numPr>
    </w:pPr>
  </w:style>
  <w:style w:type="character" w:customStyle="1" w:styleId="EPOBulletChar">
    <w:name w:val="EPOBullet Char"/>
    <w:basedOn w:val="DefaultParagraphFont"/>
    <w:link w:val="EPOBullet"/>
    <w:rsid w:val="00327629"/>
    <w:rPr>
      <w:rFonts w:ascii="Arial" w:hAnsi="Arial" w:cs="Arial"/>
      <w:sz w:val="24"/>
    </w:rPr>
  </w:style>
  <w:style w:type="paragraph" w:customStyle="1" w:styleId="EPODocBullet">
    <w:name w:val="EPODocBullet"/>
    <w:basedOn w:val="EPONormal"/>
    <w:link w:val="EPODocBulletChar"/>
    <w:qFormat/>
    <w:rsid w:val="00327629"/>
    <w:pPr>
      <w:numPr>
        <w:numId w:val="6"/>
      </w:numPr>
    </w:pPr>
  </w:style>
  <w:style w:type="character" w:customStyle="1" w:styleId="EPODocBulletChar">
    <w:name w:val="EPODocBullet Char"/>
    <w:basedOn w:val="DefaultParagraphFont"/>
    <w:link w:val="EPODocBullet"/>
    <w:rsid w:val="00327629"/>
    <w:rPr>
      <w:rFonts w:ascii="Arial" w:hAnsi="Arial" w:cs="Arial"/>
      <w:sz w:val="24"/>
    </w:rPr>
  </w:style>
  <w:style w:type="paragraph" w:customStyle="1" w:styleId="EPOList">
    <w:name w:val="EPOList"/>
    <w:basedOn w:val="EPONormal"/>
    <w:link w:val="EPOListChar"/>
    <w:qFormat/>
    <w:rsid w:val="00327629"/>
    <w:pPr>
      <w:numPr>
        <w:numId w:val="7"/>
      </w:numPr>
    </w:pPr>
  </w:style>
  <w:style w:type="character" w:customStyle="1" w:styleId="EPOListChar">
    <w:name w:val="EPOList Char"/>
    <w:basedOn w:val="DefaultParagraphFont"/>
    <w:link w:val="EPOList"/>
    <w:rsid w:val="00327629"/>
    <w:rPr>
      <w:rFonts w:ascii="Arial" w:hAnsi="Arial" w:cs="Arial"/>
      <w:sz w:val="24"/>
    </w:rPr>
  </w:style>
  <w:style w:type="paragraph" w:customStyle="1" w:styleId="EPODocList">
    <w:name w:val="EPODocList"/>
    <w:basedOn w:val="EPONormal"/>
    <w:link w:val="EPODocListChar"/>
    <w:qFormat/>
    <w:rsid w:val="00327629"/>
    <w:pPr>
      <w:numPr>
        <w:numId w:val="8"/>
      </w:numPr>
    </w:pPr>
  </w:style>
  <w:style w:type="character" w:customStyle="1" w:styleId="EPODocListChar">
    <w:name w:val="EPODocList Char"/>
    <w:basedOn w:val="DefaultParagraphFont"/>
    <w:link w:val="EPODocList"/>
    <w:rsid w:val="00327629"/>
    <w:rPr>
      <w:rFonts w:ascii="Arial" w:hAnsi="Arial" w:cs="Arial"/>
      <w:sz w:val="24"/>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szCs w:val="24"/>
      <w:lang w:eastAsia="en-GB"/>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szCs w:val="24"/>
      <w:lang w:eastAsia="en-GB"/>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7E17D9"/>
    <w:pPr>
      <w:spacing w:after="0" w:line="240" w:lineRule="auto"/>
    </w:pPr>
    <w:rPr>
      <w:rFonts w:ascii="Arial" w:hAnsi="Arial" w:cs="Arial"/>
      <w:sz w:val="24"/>
    </w:rPr>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szCs w:val="24"/>
      <w:lang w:eastAsia="en-GB"/>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szCs w:val="24"/>
      <w:lang w:eastAsia="en-GB"/>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0461">
      <w:bodyDiv w:val="1"/>
      <w:marLeft w:val="0"/>
      <w:marRight w:val="0"/>
      <w:marTop w:val="0"/>
      <w:marBottom w:val="0"/>
      <w:divBdr>
        <w:top w:val="none" w:sz="0" w:space="0" w:color="auto"/>
        <w:left w:val="none" w:sz="0" w:space="0" w:color="auto"/>
        <w:bottom w:val="none" w:sz="0" w:space="0" w:color="auto"/>
        <w:right w:val="none" w:sz="0" w:space="0" w:color="auto"/>
      </w:divBdr>
    </w:div>
    <w:div w:id="79378081">
      <w:bodyDiv w:val="1"/>
      <w:marLeft w:val="0"/>
      <w:marRight w:val="0"/>
      <w:marTop w:val="0"/>
      <w:marBottom w:val="0"/>
      <w:divBdr>
        <w:top w:val="none" w:sz="0" w:space="0" w:color="auto"/>
        <w:left w:val="none" w:sz="0" w:space="0" w:color="auto"/>
        <w:bottom w:val="none" w:sz="0" w:space="0" w:color="auto"/>
        <w:right w:val="none" w:sz="0" w:space="0" w:color="auto"/>
      </w:divBdr>
    </w:div>
    <w:div w:id="335764249">
      <w:bodyDiv w:val="1"/>
      <w:marLeft w:val="0"/>
      <w:marRight w:val="0"/>
      <w:marTop w:val="0"/>
      <w:marBottom w:val="0"/>
      <w:divBdr>
        <w:top w:val="none" w:sz="0" w:space="0" w:color="auto"/>
        <w:left w:val="none" w:sz="0" w:space="0" w:color="auto"/>
        <w:bottom w:val="none" w:sz="0" w:space="0" w:color="auto"/>
        <w:right w:val="none" w:sz="0" w:space="0" w:color="auto"/>
      </w:divBdr>
    </w:div>
    <w:div w:id="345210798">
      <w:bodyDiv w:val="1"/>
      <w:marLeft w:val="0"/>
      <w:marRight w:val="0"/>
      <w:marTop w:val="0"/>
      <w:marBottom w:val="0"/>
      <w:divBdr>
        <w:top w:val="none" w:sz="0" w:space="0" w:color="auto"/>
        <w:left w:val="none" w:sz="0" w:space="0" w:color="auto"/>
        <w:bottom w:val="none" w:sz="0" w:space="0" w:color="auto"/>
        <w:right w:val="none" w:sz="0" w:space="0" w:color="auto"/>
      </w:divBdr>
    </w:div>
    <w:div w:id="412043805">
      <w:bodyDiv w:val="1"/>
      <w:marLeft w:val="0"/>
      <w:marRight w:val="0"/>
      <w:marTop w:val="0"/>
      <w:marBottom w:val="0"/>
      <w:divBdr>
        <w:top w:val="none" w:sz="0" w:space="0" w:color="auto"/>
        <w:left w:val="none" w:sz="0" w:space="0" w:color="auto"/>
        <w:bottom w:val="none" w:sz="0" w:space="0" w:color="auto"/>
        <w:right w:val="none" w:sz="0" w:space="0" w:color="auto"/>
      </w:divBdr>
    </w:div>
    <w:div w:id="418676038">
      <w:bodyDiv w:val="1"/>
      <w:marLeft w:val="0"/>
      <w:marRight w:val="0"/>
      <w:marTop w:val="0"/>
      <w:marBottom w:val="0"/>
      <w:divBdr>
        <w:top w:val="none" w:sz="0" w:space="0" w:color="auto"/>
        <w:left w:val="none" w:sz="0" w:space="0" w:color="auto"/>
        <w:bottom w:val="none" w:sz="0" w:space="0" w:color="auto"/>
        <w:right w:val="none" w:sz="0" w:space="0" w:color="auto"/>
      </w:divBdr>
    </w:div>
    <w:div w:id="668213248">
      <w:bodyDiv w:val="1"/>
      <w:marLeft w:val="0"/>
      <w:marRight w:val="0"/>
      <w:marTop w:val="0"/>
      <w:marBottom w:val="0"/>
      <w:divBdr>
        <w:top w:val="none" w:sz="0" w:space="0" w:color="auto"/>
        <w:left w:val="none" w:sz="0" w:space="0" w:color="auto"/>
        <w:bottom w:val="none" w:sz="0" w:space="0" w:color="auto"/>
        <w:right w:val="none" w:sz="0" w:space="0" w:color="auto"/>
      </w:divBdr>
      <w:divsChild>
        <w:div w:id="1075981528">
          <w:marLeft w:val="0"/>
          <w:marRight w:val="0"/>
          <w:marTop w:val="0"/>
          <w:marBottom w:val="0"/>
          <w:divBdr>
            <w:top w:val="none" w:sz="0" w:space="0" w:color="auto"/>
            <w:left w:val="none" w:sz="0" w:space="0" w:color="auto"/>
            <w:bottom w:val="none" w:sz="0" w:space="0" w:color="auto"/>
            <w:right w:val="none" w:sz="0" w:space="0" w:color="auto"/>
          </w:divBdr>
        </w:div>
        <w:div w:id="512037667">
          <w:marLeft w:val="0"/>
          <w:marRight w:val="0"/>
          <w:marTop w:val="0"/>
          <w:marBottom w:val="0"/>
          <w:divBdr>
            <w:top w:val="none" w:sz="0" w:space="0" w:color="auto"/>
            <w:left w:val="none" w:sz="0" w:space="0" w:color="auto"/>
            <w:bottom w:val="none" w:sz="0" w:space="0" w:color="auto"/>
            <w:right w:val="none" w:sz="0" w:space="0" w:color="auto"/>
          </w:divBdr>
          <w:divsChild>
            <w:div w:id="909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4950">
      <w:bodyDiv w:val="1"/>
      <w:marLeft w:val="0"/>
      <w:marRight w:val="0"/>
      <w:marTop w:val="0"/>
      <w:marBottom w:val="0"/>
      <w:divBdr>
        <w:top w:val="none" w:sz="0" w:space="0" w:color="auto"/>
        <w:left w:val="none" w:sz="0" w:space="0" w:color="auto"/>
        <w:bottom w:val="none" w:sz="0" w:space="0" w:color="auto"/>
        <w:right w:val="none" w:sz="0" w:space="0" w:color="auto"/>
      </w:divBdr>
    </w:div>
    <w:div w:id="901602458">
      <w:bodyDiv w:val="1"/>
      <w:marLeft w:val="0"/>
      <w:marRight w:val="0"/>
      <w:marTop w:val="0"/>
      <w:marBottom w:val="0"/>
      <w:divBdr>
        <w:top w:val="none" w:sz="0" w:space="0" w:color="auto"/>
        <w:left w:val="none" w:sz="0" w:space="0" w:color="auto"/>
        <w:bottom w:val="none" w:sz="0" w:space="0" w:color="auto"/>
        <w:right w:val="none" w:sz="0" w:space="0" w:color="auto"/>
      </w:divBdr>
      <w:divsChild>
        <w:div w:id="891501871">
          <w:marLeft w:val="0"/>
          <w:marRight w:val="0"/>
          <w:marTop w:val="300"/>
          <w:marBottom w:val="0"/>
          <w:divBdr>
            <w:top w:val="none" w:sz="0" w:space="0" w:color="auto"/>
            <w:left w:val="none" w:sz="0" w:space="0" w:color="auto"/>
            <w:bottom w:val="none" w:sz="0" w:space="0" w:color="auto"/>
            <w:right w:val="none" w:sz="0" w:space="0" w:color="auto"/>
          </w:divBdr>
        </w:div>
        <w:div w:id="189297625">
          <w:marLeft w:val="0"/>
          <w:marRight w:val="0"/>
          <w:marTop w:val="0"/>
          <w:marBottom w:val="0"/>
          <w:divBdr>
            <w:top w:val="none" w:sz="0" w:space="0" w:color="auto"/>
            <w:left w:val="none" w:sz="0" w:space="0" w:color="auto"/>
            <w:bottom w:val="none" w:sz="0" w:space="0" w:color="auto"/>
            <w:right w:val="none" w:sz="0" w:space="0" w:color="auto"/>
          </w:divBdr>
        </w:div>
        <w:div w:id="1763263071">
          <w:marLeft w:val="0"/>
          <w:marRight w:val="0"/>
          <w:marTop w:val="300"/>
          <w:marBottom w:val="0"/>
          <w:divBdr>
            <w:top w:val="none" w:sz="0" w:space="0" w:color="auto"/>
            <w:left w:val="none" w:sz="0" w:space="0" w:color="auto"/>
            <w:bottom w:val="none" w:sz="0" w:space="0" w:color="auto"/>
            <w:right w:val="none" w:sz="0" w:space="0" w:color="auto"/>
          </w:divBdr>
        </w:div>
        <w:div w:id="446118247">
          <w:marLeft w:val="0"/>
          <w:marRight w:val="0"/>
          <w:marTop w:val="0"/>
          <w:marBottom w:val="0"/>
          <w:divBdr>
            <w:top w:val="none" w:sz="0" w:space="0" w:color="auto"/>
            <w:left w:val="none" w:sz="0" w:space="0" w:color="auto"/>
            <w:bottom w:val="none" w:sz="0" w:space="0" w:color="auto"/>
            <w:right w:val="none" w:sz="0" w:space="0" w:color="auto"/>
          </w:divBdr>
        </w:div>
      </w:divsChild>
    </w:div>
    <w:div w:id="965355977">
      <w:bodyDiv w:val="1"/>
      <w:marLeft w:val="0"/>
      <w:marRight w:val="0"/>
      <w:marTop w:val="0"/>
      <w:marBottom w:val="0"/>
      <w:divBdr>
        <w:top w:val="none" w:sz="0" w:space="0" w:color="auto"/>
        <w:left w:val="none" w:sz="0" w:space="0" w:color="auto"/>
        <w:bottom w:val="none" w:sz="0" w:space="0" w:color="auto"/>
        <w:right w:val="none" w:sz="0" w:space="0" w:color="auto"/>
      </w:divBdr>
    </w:div>
    <w:div w:id="1026061152">
      <w:bodyDiv w:val="1"/>
      <w:marLeft w:val="0"/>
      <w:marRight w:val="0"/>
      <w:marTop w:val="0"/>
      <w:marBottom w:val="0"/>
      <w:divBdr>
        <w:top w:val="none" w:sz="0" w:space="0" w:color="auto"/>
        <w:left w:val="none" w:sz="0" w:space="0" w:color="auto"/>
        <w:bottom w:val="none" w:sz="0" w:space="0" w:color="auto"/>
        <w:right w:val="none" w:sz="0" w:space="0" w:color="auto"/>
      </w:divBdr>
    </w:div>
    <w:div w:id="1047334225">
      <w:bodyDiv w:val="1"/>
      <w:marLeft w:val="0"/>
      <w:marRight w:val="0"/>
      <w:marTop w:val="0"/>
      <w:marBottom w:val="0"/>
      <w:divBdr>
        <w:top w:val="none" w:sz="0" w:space="0" w:color="auto"/>
        <w:left w:val="none" w:sz="0" w:space="0" w:color="auto"/>
        <w:bottom w:val="none" w:sz="0" w:space="0" w:color="auto"/>
        <w:right w:val="none" w:sz="0" w:space="0" w:color="auto"/>
      </w:divBdr>
    </w:div>
    <w:div w:id="1256938331">
      <w:bodyDiv w:val="1"/>
      <w:marLeft w:val="0"/>
      <w:marRight w:val="0"/>
      <w:marTop w:val="0"/>
      <w:marBottom w:val="0"/>
      <w:divBdr>
        <w:top w:val="none" w:sz="0" w:space="0" w:color="auto"/>
        <w:left w:val="none" w:sz="0" w:space="0" w:color="auto"/>
        <w:bottom w:val="none" w:sz="0" w:space="0" w:color="auto"/>
        <w:right w:val="none" w:sz="0" w:space="0" w:color="auto"/>
      </w:divBdr>
    </w:div>
    <w:div w:id="1273785277">
      <w:bodyDiv w:val="1"/>
      <w:marLeft w:val="0"/>
      <w:marRight w:val="0"/>
      <w:marTop w:val="0"/>
      <w:marBottom w:val="0"/>
      <w:divBdr>
        <w:top w:val="none" w:sz="0" w:space="0" w:color="auto"/>
        <w:left w:val="none" w:sz="0" w:space="0" w:color="auto"/>
        <w:bottom w:val="none" w:sz="0" w:space="0" w:color="auto"/>
        <w:right w:val="none" w:sz="0" w:space="0" w:color="auto"/>
      </w:divBdr>
    </w:div>
    <w:div w:id="1370883867">
      <w:bodyDiv w:val="1"/>
      <w:marLeft w:val="0"/>
      <w:marRight w:val="0"/>
      <w:marTop w:val="0"/>
      <w:marBottom w:val="0"/>
      <w:divBdr>
        <w:top w:val="none" w:sz="0" w:space="0" w:color="auto"/>
        <w:left w:val="none" w:sz="0" w:space="0" w:color="auto"/>
        <w:bottom w:val="none" w:sz="0" w:space="0" w:color="auto"/>
        <w:right w:val="none" w:sz="0" w:space="0" w:color="auto"/>
      </w:divBdr>
    </w:div>
    <w:div w:id="1384064441">
      <w:bodyDiv w:val="1"/>
      <w:marLeft w:val="0"/>
      <w:marRight w:val="0"/>
      <w:marTop w:val="0"/>
      <w:marBottom w:val="0"/>
      <w:divBdr>
        <w:top w:val="none" w:sz="0" w:space="0" w:color="auto"/>
        <w:left w:val="none" w:sz="0" w:space="0" w:color="auto"/>
        <w:bottom w:val="none" w:sz="0" w:space="0" w:color="auto"/>
        <w:right w:val="none" w:sz="0" w:space="0" w:color="auto"/>
      </w:divBdr>
    </w:div>
    <w:div w:id="1471364497">
      <w:bodyDiv w:val="1"/>
      <w:marLeft w:val="0"/>
      <w:marRight w:val="0"/>
      <w:marTop w:val="0"/>
      <w:marBottom w:val="0"/>
      <w:divBdr>
        <w:top w:val="none" w:sz="0" w:space="0" w:color="auto"/>
        <w:left w:val="none" w:sz="0" w:space="0" w:color="auto"/>
        <w:bottom w:val="none" w:sz="0" w:space="0" w:color="auto"/>
        <w:right w:val="none" w:sz="0" w:space="0" w:color="auto"/>
      </w:divBdr>
    </w:div>
    <w:div w:id="1731878826">
      <w:bodyDiv w:val="1"/>
      <w:marLeft w:val="0"/>
      <w:marRight w:val="0"/>
      <w:marTop w:val="0"/>
      <w:marBottom w:val="0"/>
      <w:divBdr>
        <w:top w:val="none" w:sz="0" w:space="0" w:color="auto"/>
        <w:left w:val="none" w:sz="0" w:space="0" w:color="auto"/>
        <w:bottom w:val="none" w:sz="0" w:space="0" w:color="auto"/>
        <w:right w:val="none" w:sz="0" w:space="0" w:color="auto"/>
      </w:divBdr>
    </w:div>
    <w:div w:id="1735397688">
      <w:bodyDiv w:val="1"/>
      <w:marLeft w:val="0"/>
      <w:marRight w:val="0"/>
      <w:marTop w:val="0"/>
      <w:marBottom w:val="0"/>
      <w:divBdr>
        <w:top w:val="none" w:sz="0" w:space="0" w:color="auto"/>
        <w:left w:val="none" w:sz="0" w:space="0" w:color="auto"/>
        <w:bottom w:val="none" w:sz="0" w:space="0" w:color="auto"/>
        <w:right w:val="none" w:sz="0" w:space="0" w:color="auto"/>
      </w:divBdr>
    </w:div>
    <w:div w:id="1845166134">
      <w:bodyDiv w:val="1"/>
      <w:marLeft w:val="0"/>
      <w:marRight w:val="0"/>
      <w:marTop w:val="0"/>
      <w:marBottom w:val="0"/>
      <w:divBdr>
        <w:top w:val="none" w:sz="0" w:space="0" w:color="auto"/>
        <w:left w:val="none" w:sz="0" w:space="0" w:color="auto"/>
        <w:bottom w:val="none" w:sz="0" w:space="0" w:color="auto"/>
        <w:right w:val="none" w:sz="0" w:space="0" w:color="auto"/>
      </w:divBdr>
    </w:div>
    <w:div w:id="2064599015">
      <w:bodyDiv w:val="1"/>
      <w:marLeft w:val="0"/>
      <w:marRight w:val="0"/>
      <w:marTop w:val="0"/>
      <w:marBottom w:val="0"/>
      <w:divBdr>
        <w:top w:val="none" w:sz="0" w:space="0" w:color="auto"/>
        <w:left w:val="none" w:sz="0" w:space="0" w:color="auto"/>
        <w:bottom w:val="none" w:sz="0" w:space="0" w:color="auto"/>
        <w:right w:val="none" w:sz="0" w:space="0" w:color="auto"/>
      </w:divBdr>
    </w:div>
    <w:div w:id="20657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patent-index2019" TargetMode="External"/><Relationship Id="rId13" Type="http://schemas.openxmlformats.org/officeDocument/2006/relationships/hyperlink" Target="http://mediacentre.epo.org/razuna/assets/1/48E87A7B232941C28C61EBF14484744C/img/3837FA4413954E588079F8812ACA1F5E/Top_10_applicants_computer_technology_2019.jpg" TargetMode="External"/><Relationship Id="rId18" Type="http://schemas.openxmlformats.org/officeDocument/2006/relationships/hyperlink" Target="mailto:press@epo.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ediacentre.epo.org/razuna/assets/1/48E87A7B232941C28C61EBF14484744C/img/A26D209F73A14506BC7F0EF0341271C2/Top_10_applicants_digital_communication_2019.jpg" TargetMode="External"/><Relationship Id="rId17" Type="http://schemas.openxmlformats.org/officeDocument/2006/relationships/hyperlink" Target="http://mediacentre.epo.org/razuna/assets/1/48E87A7B232941C28C61EBF14484744C/img/6B0E89C436FE4C1FB39D89C5FBC16EFB/Breakdown_by_category_of_applicant_2019.jp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po.or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ediacentre.epo.org/razuna/assets/1/48E87A7B232941C28C61EBF14484744C/img/AD605DEEC2A04057B905782802AFC96A/Top_50_countries_EPO_2019.jpg" TargetMode="External"/><Relationship Id="rId10" Type="http://schemas.openxmlformats.org/officeDocument/2006/relationships/hyperlink" Target="https://www.epo.org/about-us/annual-reports-statistics/statistics/2019/digitalisation-triggers-patenting-growth.html" TargetMode="External"/><Relationship Id="rId19" Type="http://schemas.openxmlformats.org/officeDocument/2006/relationships/hyperlink" Target="http://www.ep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diacentre.epo.org/razuna/assets/1/48E87A7B232941C28C61EBF14484744C/img/D5A60958CE384F36BC1B9F3C9604129E/Origin_of_patent_applications_EPO_20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60BD-B04A-495A-B4E4-6F164F34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Tendler Benjamin</dc:creator>
  <cp:lastModifiedBy>Jana Kotalik</cp:lastModifiedBy>
  <cp:revision>2</cp:revision>
  <cp:lastPrinted>2020-02-13T08:22:00Z</cp:lastPrinted>
  <dcterms:created xsi:type="dcterms:W3CDTF">2020-03-10T10:24:00Z</dcterms:created>
  <dcterms:modified xsi:type="dcterms:W3CDTF">2020-03-10T10:24:00Z</dcterms:modified>
</cp:coreProperties>
</file>